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E0FE9" w14:textId="77777777" w:rsidR="00AA6F4D" w:rsidRPr="00BB212B" w:rsidRDefault="008B64C1" w:rsidP="0021114E">
      <w:pPr>
        <w:pStyle w:val="LGAItemNoHeading"/>
        <w:spacing w:before="240"/>
        <w:rPr>
          <w:rFonts w:ascii="Arial" w:hAnsi="Arial" w:cs="Arial"/>
          <w:sz w:val="28"/>
          <w:szCs w:val="28"/>
        </w:rPr>
      </w:pPr>
      <w:r>
        <w:rPr>
          <w:rFonts w:ascii="Arial" w:hAnsi="Arial" w:cs="Arial"/>
          <w:sz w:val="28"/>
          <w:szCs w:val="28"/>
        </w:rPr>
        <w:t>Regul</w:t>
      </w:r>
      <w:bookmarkStart w:id="0" w:name="_GoBack"/>
      <w:bookmarkEnd w:id="0"/>
      <w:r>
        <w:rPr>
          <w:rFonts w:ascii="Arial" w:hAnsi="Arial" w:cs="Arial"/>
          <w:sz w:val="28"/>
          <w:szCs w:val="28"/>
        </w:rPr>
        <w:t>atory services update</w:t>
      </w:r>
    </w:p>
    <w:p w14:paraId="2A35304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58A6E22" w14:textId="77777777" w:rsidR="0021114E" w:rsidRPr="0021114E" w:rsidRDefault="0021114E" w:rsidP="0021114E">
      <w:pPr>
        <w:pStyle w:val="MainText"/>
        <w:spacing w:line="240" w:lineRule="auto"/>
        <w:rPr>
          <w:rFonts w:ascii="Arial" w:hAnsi="Arial" w:cs="Arial"/>
          <w:b/>
          <w:szCs w:val="22"/>
        </w:rPr>
      </w:pPr>
    </w:p>
    <w:p w14:paraId="3AAFF3BB"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8B64C1">
        <w:rPr>
          <w:rFonts w:ascii="Arial" w:hAnsi="Arial" w:cs="Arial"/>
          <w:szCs w:val="22"/>
        </w:rPr>
        <w:t>information and direction.</w:t>
      </w:r>
      <w:proofErr w:type="gramEnd"/>
    </w:p>
    <w:p w14:paraId="0B261D8F" w14:textId="77777777" w:rsidR="00A601EC" w:rsidRPr="0021114E" w:rsidRDefault="00A601EC" w:rsidP="0021114E">
      <w:pPr>
        <w:pStyle w:val="MainText"/>
        <w:spacing w:line="240" w:lineRule="auto"/>
        <w:rPr>
          <w:rFonts w:ascii="Arial" w:hAnsi="Arial" w:cs="Arial"/>
          <w:b/>
          <w:szCs w:val="22"/>
        </w:rPr>
      </w:pPr>
    </w:p>
    <w:p w14:paraId="5048BB8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14E4BC9" w14:textId="77777777" w:rsidR="00A601EC" w:rsidRPr="0021114E" w:rsidRDefault="00A601EC" w:rsidP="0021114E">
      <w:pPr>
        <w:pStyle w:val="MainText"/>
        <w:spacing w:line="240" w:lineRule="auto"/>
        <w:rPr>
          <w:rFonts w:ascii="Arial" w:hAnsi="Arial" w:cs="Arial"/>
          <w:szCs w:val="22"/>
        </w:rPr>
      </w:pPr>
    </w:p>
    <w:p w14:paraId="03BE2488" w14:textId="77777777" w:rsidR="008B64C1" w:rsidRPr="00C150BD" w:rsidRDefault="008B64C1" w:rsidP="008B64C1">
      <w:pPr>
        <w:pStyle w:val="MainText"/>
        <w:rPr>
          <w:rFonts w:ascii="Arial" w:hAnsi="Arial" w:cs="Arial"/>
          <w:szCs w:val="22"/>
        </w:rPr>
      </w:pPr>
      <w:r w:rsidRPr="00C150BD">
        <w:rPr>
          <w:rFonts w:ascii="Arial" w:hAnsi="Arial" w:cs="Arial"/>
          <w:szCs w:val="22"/>
        </w:rPr>
        <w:t>This report provides an update on LGA policy work and developments affecting regulatory services that will be of interest to the Stronger and Safer Communities Board.</w:t>
      </w:r>
    </w:p>
    <w:p w14:paraId="308C25F6" w14:textId="77777777" w:rsidR="00C56860" w:rsidRPr="0021114E" w:rsidRDefault="00C56860" w:rsidP="00C56860">
      <w:pPr>
        <w:pStyle w:val="MainText"/>
        <w:spacing w:line="240" w:lineRule="auto"/>
        <w:rPr>
          <w:rFonts w:ascii="Arial" w:hAnsi="Arial" w:cs="Arial"/>
          <w:szCs w:val="22"/>
        </w:rPr>
      </w:pPr>
    </w:p>
    <w:p w14:paraId="1280601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4B8768D" w14:textId="77777777">
        <w:tc>
          <w:tcPr>
            <w:tcW w:w="9157" w:type="dxa"/>
          </w:tcPr>
          <w:p w14:paraId="61F3CDD0" w14:textId="77777777" w:rsidR="000C3360" w:rsidRPr="00F27CCB" w:rsidRDefault="000C3360" w:rsidP="0021114E">
            <w:pPr>
              <w:pStyle w:val="MainText"/>
              <w:spacing w:line="240" w:lineRule="auto"/>
              <w:rPr>
                <w:rFonts w:ascii="Arial" w:hAnsi="Arial" w:cs="Arial"/>
                <w:b/>
                <w:szCs w:val="22"/>
              </w:rPr>
            </w:pPr>
          </w:p>
          <w:p w14:paraId="612B94E1" w14:textId="77777777" w:rsidR="008B64C1" w:rsidRPr="00F27CCB" w:rsidRDefault="008B64C1" w:rsidP="008B64C1">
            <w:pPr>
              <w:pStyle w:val="MainText"/>
              <w:spacing w:line="240" w:lineRule="auto"/>
              <w:rPr>
                <w:rFonts w:ascii="Arial" w:hAnsi="Arial" w:cs="Arial"/>
                <w:b/>
                <w:szCs w:val="22"/>
              </w:rPr>
            </w:pPr>
            <w:r w:rsidRPr="00F27CCB">
              <w:rPr>
                <w:rFonts w:ascii="Arial" w:hAnsi="Arial" w:cs="Arial"/>
                <w:b/>
                <w:szCs w:val="22"/>
              </w:rPr>
              <w:t>Recommendation</w:t>
            </w:r>
          </w:p>
          <w:p w14:paraId="5FFB604A" w14:textId="77777777" w:rsidR="008B64C1" w:rsidRPr="00F27CCB" w:rsidRDefault="008B64C1" w:rsidP="008B64C1">
            <w:pPr>
              <w:pStyle w:val="MainText"/>
              <w:spacing w:line="240" w:lineRule="auto"/>
              <w:rPr>
                <w:rFonts w:ascii="Arial" w:hAnsi="Arial" w:cs="Arial"/>
                <w:b/>
                <w:szCs w:val="22"/>
              </w:rPr>
            </w:pPr>
          </w:p>
          <w:p w14:paraId="49A9EDF2" w14:textId="77777777" w:rsidR="00537A03" w:rsidRPr="00F27CCB" w:rsidRDefault="008B64C1" w:rsidP="007A457B">
            <w:pPr>
              <w:spacing w:line="280" w:lineRule="exact"/>
              <w:rPr>
                <w:rFonts w:ascii="Arial" w:hAnsi="Arial" w:cs="Arial"/>
                <w:szCs w:val="22"/>
              </w:rPr>
            </w:pPr>
            <w:r w:rsidRPr="00F27CCB">
              <w:rPr>
                <w:rFonts w:ascii="Arial" w:hAnsi="Arial" w:cs="Arial"/>
                <w:szCs w:val="22"/>
              </w:rPr>
              <w:t>That the Board notes the activities outlined</w:t>
            </w:r>
            <w:r w:rsidR="007A457B" w:rsidRPr="00F27CCB">
              <w:rPr>
                <w:rFonts w:ascii="Arial" w:hAnsi="Arial" w:cs="Arial"/>
                <w:szCs w:val="22"/>
              </w:rPr>
              <w:t>.</w:t>
            </w:r>
          </w:p>
          <w:p w14:paraId="171A2872" w14:textId="77777777" w:rsidR="008B64C1" w:rsidRPr="00F27CCB" w:rsidRDefault="008B64C1" w:rsidP="00537A03">
            <w:pPr>
              <w:spacing w:line="280" w:lineRule="exact"/>
              <w:rPr>
                <w:rFonts w:ascii="Arial" w:hAnsi="Arial" w:cs="Arial"/>
                <w:b/>
                <w:szCs w:val="22"/>
              </w:rPr>
            </w:pPr>
            <w:r w:rsidRPr="00F27CCB">
              <w:rPr>
                <w:rFonts w:ascii="Arial" w:hAnsi="Arial" w:cs="Arial"/>
                <w:b/>
                <w:szCs w:val="22"/>
              </w:rPr>
              <w:t xml:space="preserve"> </w:t>
            </w:r>
          </w:p>
          <w:p w14:paraId="618E547C" w14:textId="77777777" w:rsidR="008B64C1" w:rsidRPr="00F27CCB" w:rsidRDefault="008B64C1" w:rsidP="008B64C1">
            <w:pPr>
              <w:pStyle w:val="MainText"/>
              <w:spacing w:line="240" w:lineRule="auto"/>
              <w:rPr>
                <w:rFonts w:ascii="Arial" w:hAnsi="Arial" w:cs="Arial"/>
                <w:b/>
                <w:szCs w:val="22"/>
              </w:rPr>
            </w:pPr>
            <w:r w:rsidRPr="00F27CCB">
              <w:rPr>
                <w:rFonts w:ascii="Arial" w:hAnsi="Arial" w:cs="Arial"/>
                <w:b/>
                <w:szCs w:val="22"/>
              </w:rPr>
              <w:t>Action</w:t>
            </w:r>
          </w:p>
          <w:p w14:paraId="2C4C064B" w14:textId="77777777" w:rsidR="008B64C1" w:rsidRPr="00F27CCB" w:rsidRDefault="008B64C1" w:rsidP="008B64C1">
            <w:pPr>
              <w:pStyle w:val="MainText"/>
              <w:spacing w:line="240" w:lineRule="auto"/>
              <w:rPr>
                <w:rFonts w:ascii="Arial" w:hAnsi="Arial" w:cs="Arial"/>
                <w:b/>
                <w:szCs w:val="22"/>
              </w:rPr>
            </w:pPr>
          </w:p>
          <w:p w14:paraId="7B9A3EA3" w14:textId="77777777" w:rsidR="008B64C1" w:rsidRPr="00F27CCB" w:rsidRDefault="008B64C1" w:rsidP="008B64C1">
            <w:pPr>
              <w:pStyle w:val="MainText"/>
              <w:spacing w:line="240" w:lineRule="auto"/>
              <w:rPr>
                <w:rFonts w:ascii="Arial" w:hAnsi="Arial" w:cs="Arial"/>
                <w:szCs w:val="22"/>
              </w:rPr>
            </w:pPr>
            <w:r w:rsidRPr="00F27CCB">
              <w:rPr>
                <w:rFonts w:ascii="Arial" w:hAnsi="Arial" w:cs="Arial"/>
                <w:szCs w:val="22"/>
              </w:rPr>
              <w:t>Officers to progress as directed</w:t>
            </w:r>
          </w:p>
          <w:p w14:paraId="6761F9C9" w14:textId="77777777" w:rsidR="000A3935" w:rsidRPr="00F27CCB" w:rsidRDefault="000A3935" w:rsidP="0021114E">
            <w:pPr>
              <w:pStyle w:val="MainText"/>
              <w:spacing w:line="240" w:lineRule="auto"/>
              <w:rPr>
                <w:rFonts w:ascii="Arial" w:hAnsi="Arial" w:cs="Arial"/>
                <w:b/>
                <w:szCs w:val="22"/>
              </w:rPr>
            </w:pPr>
          </w:p>
        </w:tc>
      </w:tr>
    </w:tbl>
    <w:p w14:paraId="23A8D398" w14:textId="77777777" w:rsidR="00AA6F4D" w:rsidRPr="0021114E" w:rsidRDefault="00AA6F4D" w:rsidP="0021114E">
      <w:pPr>
        <w:pStyle w:val="MainText"/>
        <w:spacing w:line="240" w:lineRule="auto"/>
        <w:rPr>
          <w:rFonts w:ascii="Arial" w:hAnsi="Arial" w:cs="Arial"/>
          <w:szCs w:val="22"/>
        </w:rPr>
      </w:pPr>
    </w:p>
    <w:p w14:paraId="1ECA35ED" w14:textId="77777777" w:rsidR="000D2BDB" w:rsidRPr="0021114E" w:rsidRDefault="000D2BDB" w:rsidP="0021114E">
      <w:pPr>
        <w:pStyle w:val="MainText"/>
        <w:spacing w:line="240" w:lineRule="auto"/>
        <w:rPr>
          <w:rFonts w:ascii="Arial" w:hAnsi="Arial" w:cs="Arial"/>
          <w:szCs w:val="22"/>
        </w:rPr>
      </w:pPr>
    </w:p>
    <w:p w14:paraId="4E83986B"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3CB94A5" w14:textId="77777777" w:rsidTr="008D332D">
        <w:tc>
          <w:tcPr>
            <w:tcW w:w="2802" w:type="dxa"/>
          </w:tcPr>
          <w:p w14:paraId="297B1A1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2A58AD2"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14:paraId="34B9AA23" w14:textId="77777777" w:rsidTr="008D332D">
        <w:tc>
          <w:tcPr>
            <w:tcW w:w="2802" w:type="dxa"/>
          </w:tcPr>
          <w:p w14:paraId="44126F9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2507C35" w14:textId="77777777" w:rsidR="00C9258A" w:rsidRPr="0021114E" w:rsidRDefault="00FE5843"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3BC53569" w14:textId="77777777" w:rsidTr="008D332D">
        <w:tc>
          <w:tcPr>
            <w:tcW w:w="2802" w:type="dxa"/>
          </w:tcPr>
          <w:p w14:paraId="51C0D2F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D6AF851"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14:paraId="37922CEA" w14:textId="77777777" w:rsidTr="006137EA">
        <w:trPr>
          <w:trHeight w:val="507"/>
        </w:trPr>
        <w:tc>
          <w:tcPr>
            <w:tcW w:w="2802" w:type="dxa"/>
          </w:tcPr>
          <w:p w14:paraId="179ECBE6"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4200E65C" w14:textId="77777777" w:rsidR="001A07F1" w:rsidRPr="00FE5843" w:rsidRDefault="00FE5843" w:rsidP="005F0364">
            <w:pPr>
              <w:pStyle w:val="MainText"/>
              <w:spacing w:before="120" w:line="240" w:lineRule="auto"/>
              <w:rPr>
                <w:rFonts w:ascii="Arial" w:hAnsi="Arial" w:cs="Arial"/>
                <w:szCs w:val="22"/>
              </w:rPr>
            </w:pPr>
            <w:r w:rsidRPr="00FE5843">
              <w:rPr>
                <w:rFonts w:ascii="Arial" w:hAnsi="Arial" w:cs="Arial"/>
              </w:rPr>
              <w:t>Ellie.greenwood@local.gov.uk</w:t>
            </w:r>
          </w:p>
        </w:tc>
      </w:tr>
    </w:tbl>
    <w:p w14:paraId="7DD1F082" w14:textId="77777777" w:rsidR="0021114E" w:rsidRDefault="0021114E" w:rsidP="0021114E">
      <w:pPr>
        <w:pStyle w:val="MainText"/>
        <w:spacing w:line="240" w:lineRule="auto"/>
        <w:rPr>
          <w:rFonts w:ascii="Arial" w:hAnsi="Arial" w:cs="Arial"/>
          <w:szCs w:val="22"/>
        </w:rPr>
      </w:pPr>
    </w:p>
    <w:p w14:paraId="7A04B3D1" w14:textId="77777777" w:rsidR="0021114E" w:rsidRDefault="0021114E">
      <w:pPr>
        <w:rPr>
          <w:rFonts w:ascii="Arial" w:hAnsi="Arial" w:cs="Arial"/>
          <w:szCs w:val="22"/>
        </w:rPr>
      </w:pPr>
      <w:r>
        <w:rPr>
          <w:rFonts w:ascii="Arial" w:hAnsi="Arial" w:cs="Arial"/>
          <w:szCs w:val="22"/>
        </w:rPr>
        <w:br w:type="page"/>
      </w:r>
    </w:p>
    <w:p w14:paraId="61F28FF0" w14:textId="77777777" w:rsidR="00FE5843" w:rsidRPr="0021114E" w:rsidRDefault="00FE5843" w:rsidP="00FE5843">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lastRenderedPageBreak/>
        <w:t>Regulatory services update</w:t>
      </w:r>
    </w:p>
    <w:p w14:paraId="3188E539" w14:textId="77777777" w:rsidR="007A457B" w:rsidRDefault="007A457B" w:rsidP="007A457B">
      <w:pPr>
        <w:pStyle w:val="MainText"/>
        <w:spacing w:line="240" w:lineRule="auto"/>
        <w:ind w:left="360"/>
        <w:rPr>
          <w:rFonts w:ascii="Arial" w:hAnsi="Arial" w:cs="Arial"/>
        </w:rPr>
      </w:pPr>
    </w:p>
    <w:p w14:paraId="6BCE78EC" w14:textId="77777777" w:rsidR="003D203F" w:rsidRDefault="00045E94" w:rsidP="003D203F">
      <w:pPr>
        <w:pStyle w:val="MainText"/>
        <w:spacing w:line="240" w:lineRule="auto"/>
        <w:rPr>
          <w:rFonts w:ascii="Arial" w:hAnsi="Arial" w:cs="Arial"/>
          <w:b/>
          <w:sz w:val="24"/>
        </w:rPr>
      </w:pPr>
      <w:r>
        <w:rPr>
          <w:rFonts w:ascii="Arial" w:hAnsi="Arial" w:cs="Arial"/>
          <w:b/>
          <w:sz w:val="24"/>
        </w:rPr>
        <w:t>Outcome of the election on regulatory services</w:t>
      </w:r>
    </w:p>
    <w:p w14:paraId="6B01DEEE" w14:textId="77777777" w:rsidR="00AC7AC8" w:rsidRPr="00045E94" w:rsidRDefault="00AC7AC8" w:rsidP="003D203F">
      <w:pPr>
        <w:pStyle w:val="MainText"/>
        <w:spacing w:line="240" w:lineRule="auto"/>
        <w:rPr>
          <w:rFonts w:ascii="Arial" w:hAnsi="Arial" w:cs="Arial"/>
          <w:b/>
          <w:sz w:val="24"/>
          <w:szCs w:val="22"/>
        </w:rPr>
      </w:pPr>
    </w:p>
    <w:p w14:paraId="41D25190" w14:textId="77777777" w:rsidR="00045E94" w:rsidRDefault="00045E94" w:rsidP="0052745E">
      <w:pPr>
        <w:pStyle w:val="MainText"/>
        <w:numPr>
          <w:ilvl w:val="0"/>
          <w:numId w:val="29"/>
        </w:numPr>
        <w:spacing w:line="240" w:lineRule="auto"/>
        <w:rPr>
          <w:rFonts w:ascii="Arial" w:hAnsi="Arial" w:cs="Arial"/>
          <w:szCs w:val="22"/>
        </w:rPr>
      </w:pPr>
      <w:r>
        <w:rPr>
          <w:rFonts w:ascii="Arial" w:hAnsi="Arial" w:cs="Arial"/>
          <w:szCs w:val="22"/>
        </w:rPr>
        <w:t xml:space="preserve">The Conservative manifesto did not include any specific commitments in relation to licensing or regulatory services, although there were media reports of the Conservatives committing to freezing licensing fees. </w:t>
      </w:r>
    </w:p>
    <w:p w14:paraId="3C8FD9F4" w14:textId="77777777" w:rsidR="00045E94" w:rsidRDefault="00045E94" w:rsidP="00045E94">
      <w:pPr>
        <w:pStyle w:val="MainText"/>
        <w:spacing w:line="240" w:lineRule="auto"/>
        <w:ind w:left="360"/>
        <w:rPr>
          <w:rFonts w:ascii="Arial" w:hAnsi="Arial" w:cs="Arial"/>
          <w:szCs w:val="22"/>
        </w:rPr>
      </w:pPr>
    </w:p>
    <w:p w14:paraId="75A93AE8" w14:textId="77777777" w:rsidR="00045E94" w:rsidRDefault="00045E94" w:rsidP="0052745E">
      <w:pPr>
        <w:pStyle w:val="MainText"/>
        <w:numPr>
          <w:ilvl w:val="0"/>
          <w:numId w:val="29"/>
        </w:numPr>
        <w:spacing w:line="240" w:lineRule="auto"/>
        <w:rPr>
          <w:rFonts w:ascii="Arial" w:hAnsi="Arial" w:cs="Arial"/>
          <w:szCs w:val="22"/>
        </w:rPr>
      </w:pPr>
      <w:r>
        <w:rPr>
          <w:rFonts w:ascii="Arial" w:hAnsi="Arial" w:cs="Arial"/>
          <w:szCs w:val="22"/>
        </w:rPr>
        <w:t>At this stage, we therefore anticipate that our priority areas will continue to be those set out at the start of the Board cycle and updated as the year has progressed:</w:t>
      </w:r>
    </w:p>
    <w:p w14:paraId="7845CB3E" w14:textId="77777777" w:rsidR="00045E94" w:rsidRDefault="00045E94" w:rsidP="00045E94">
      <w:pPr>
        <w:pStyle w:val="ListParagraph"/>
        <w:rPr>
          <w:rFonts w:ascii="Arial" w:hAnsi="Arial" w:cs="Arial"/>
          <w:szCs w:val="22"/>
        </w:rPr>
      </w:pPr>
    </w:p>
    <w:p w14:paraId="2892F832" w14:textId="77777777" w:rsidR="00045E94" w:rsidRDefault="00045E94" w:rsidP="00045E94">
      <w:pPr>
        <w:pStyle w:val="MainText"/>
        <w:numPr>
          <w:ilvl w:val="1"/>
          <w:numId w:val="29"/>
        </w:numPr>
        <w:spacing w:line="240" w:lineRule="auto"/>
        <w:rPr>
          <w:rFonts w:ascii="Arial" w:hAnsi="Arial" w:cs="Arial"/>
          <w:szCs w:val="22"/>
        </w:rPr>
      </w:pPr>
      <w:r>
        <w:rPr>
          <w:rFonts w:ascii="Arial" w:hAnsi="Arial" w:cs="Arial"/>
          <w:szCs w:val="22"/>
        </w:rPr>
        <w:t>Delivering on the Rewiring Licensing proposals for the simplification of licensing regimes, and specifically the commitment in the Autumn Statement to create a single online application process by 2018.</w:t>
      </w:r>
    </w:p>
    <w:p w14:paraId="29485495" w14:textId="77777777" w:rsidR="00045E94" w:rsidRDefault="00045E94" w:rsidP="00045E94">
      <w:pPr>
        <w:pStyle w:val="MainText"/>
        <w:numPr>
          <w:ilvl w:val="1"/>
          <w:numId w:val="29"/>
        </w:numPr>
        <w:spacing w:line="240" w:lineRule="auto"/>
        <w:rPr>
          <w:rFonts w:ascii="Arial" w:hAnsi="Arial" w:cs="Arial"/>
          <w:szCs w:val="22"/>
        </w:rPr>
      </w:pPr>
      <w:r>
        <w:rPr>
          <w:rFonts w:ascii="Arial" w:hAnsi="Arial" w:cs="Arial"/>
          <w:szCs w:val="22"/>
        </w:rPr>
        <w:t>Lobbying for reform of taxi and PHV licensing</w:t>
      </w:r>
      <w:r w:rsidR="00AC7AC8">
        <w:rPr>
          <w:rFonts w:ascii="Arial" w:hAnsi="Arial" w:cs="Arial"/>
          <w:szCs w:val="22"/>
        </w:rPr>
        <w:t xml:space="preserve"> legislation</w:t>
      </w:r>
      <w:r>
        <w:rPr>
          <w:rFonts w:ascii="Arial" w:hAnsi="Arial" w:cs="Arial"/>
          <w:szCs w:val="22"/>
        </w:rPr>
        <w:t>.</w:t>
      </w:r>
    </w:p>
    <w:p w14:paraId="56E1975E" w14:textId="77777777" w:rsidR="00AC7AC8" w:rsidRDefault="00AC7AC8" w:rsidP="00045E94">
      <w:pPr>
        <w:pStyle w:val="MainText"/>
        <w:numPr>
          <w:ilvl w:val="1"/>
          <w:numId w:val="29"/>
        </w:numPr>
        <w:spacing w:line="240" w:lineRule="auto"/>
        <w:rPr>
          <w:rFonts w:ascii="Arial" w:hAnsi="Arial" w:cs="Arial"/>
          <w:szCs w:val="22"/>
        </w:rPr>
      </w:pPr>
      <w:r>
        <w:rPr>
          <w:rFonts w:ascii="Arial" w:hAnsi="Arial" w:cs="Arial"/>
          <w:szCs w:val="22"/>
        </w:rPr>
        <w:t>Supporting local government to consider the options for creating sustainable regulatory services given financial pressures, alongside the implementation of the Open for Business vision.</w:t>
      </w:r>
    </w:p>
    <w:p w14:paraId="2778D6AE" w14:textId="77777777" w:rsidR="00045E94" w:rsidRDefault="00045E94" w:rsidP="00045E94">
      <w:pPr>
        <w:pStyle w:val="MainText"/>
        <w:numPr>
          <w:ilvl w:val="1"/>
          <w:numId w:val="29"/>
        </w:numPr>
        <w:spacing w:line="240" w:lineRule="auto"/>
        <w:rPr>
          <w:rFonts w:ascii="Arial" w:hAnsi="Arial" w:cs="Arial"/>
          <w:szCs w:val="22"/>
        </w:rPr>
      </w:pPr>
      <w:r>
        <w:rPr>
          <w:rFonts w:ascii="Arial" w:hAnsi="Arial" w:cs="Arial"/>
          <w:szCs w:val="22"/>
        </w:rPr>
        <w:t>Developing an evidence base for localisation of licensing fees.</w:t>
      </w:r>
    </w:p>
    <w:p w14:paraId="61D08968" w14:textId="77777777" w:rsidR="00045E94" w:rsidRDefault="00045E94" w:rsidP="00045E94">
      <w:pPr>
        <w:pStyle w:val="MainText"/>
        <w:spacing w:line="240" w:lineRule="auto"/>
        <w:rPr>
          <w:rFonts w:ascii="Arial" w:hAnsi="Arial" w:cs="Arial"/>
          <w:szCs w:val="22"/>
        </w:rPr>
      </w:pPr>
    </w:p>
    <w:p w14:paraId="18343D77" w14:textId="77777777" w:rsidR="00045E94" w:rsidRDefault="00045E94" w:rsidP="00045E94">
      <w:pPr>
        <w:pStyle w:val="MainText"/>
        <w:spacing w:line="240" w:lineRule="auto"/>
        <w:rPr>
          <w:rFonts w:ascii="Arial" w:hAnsi="Arial" w:cs="Arial"/>
          <w:b/>
          <w:sz w:val="24"/>
          <w:szCs w:val="22"/>
        </w:rPr>
      </w:pPr>
      <w:r w:rsidRPr="003D203F">
        <w:rPr>
          <w:rFonts w:ascii="Arial" w:hAnsi="Arial" w:cs="Arial"/>
          <w:b/>
          <w:sz w:val="24"/>
          <w:szCs w:val="22"/>
        </w:rPr>
        <w:t>Licensing</w:t>
      </w:r>
      <w:r>
        <w:rPr>
          <w:rFonts w:ascii="Arial" w:hAnsi="Arial" w:cs="Arial"/>
          <w:b/>
          <w:sz w:val="24"/>
          <w:szCs w:val="22"/>
        </w:rPr>
        <w:t xml:space="preserve"> issues</w:t>
      </w:r>
    </w:p>
    <w:p w14:paraId="2726BA2D" w14:textId="77777777" w:rsidR="00045E94" w:rsidRDefault="00045E94" w:rsidP="00045E94">
      <w:pPr>
        <w:pStyle w:val="MainText"/>
        <w:spacing w:line="240" w:lineRule="auto"/>
        <w:ind w:left="360"/>
        <w:rPr>
          <w:rFonts w:ascii="Arial" w:hAnsi="Arial" w:cs="Arial"/>
        </w:rPr>
      </w:pPr>
    </w:p>
    <w:p w14:paraId="13C10FD1" w14:textId="77777777" w:rsidR="00045E94" w:rsidRDefault="00045E94" w:rsidP="00045E94">
      <w:pPr>
        <w:pStyle w:val="MainText"/>
        <w:spacing w:line="240" w:lineRule="auto"/>
        <w:rPr>
          <w:rFonts w:ascii="Arial" w:hAnsi="Arial" w:cs="Arial"/>
          <w:b/>
          <w:i/>
        </w:rPr>
      </w:pPr>
      <w:r>
        <w:rPr>
          <w:rFonts w:ascii="Arial" w:hAnsi="Arial" w:cs="Arial"/>
          <w:b/>
          <w:i/>
        </w:rPr>
        <w:t xml:space="preserve">Licensing fees - </w:t>
      </w:r>
      <w:r w:rsidRPr="003D203F">
        <w:rPr>
          <w:rFonts w:ascii="Arial" w:hAnsi="Arial" w:cs="Arial"/>
          <w:b/>
          <w:i/>
        </w:rPr>
        <w:t>Hemming case</w:t>
      </w:r>
    </w:p>
    <w:p w14:paraId="63BBBB78" w14:textId="77777777" w:rsidR="005F06B0" w:rsidRPr="003D203F" w:rsidRDefault="005F06B0" w:rsidP="00045E94">
      <w:pPr>
        <w:pStyle w:val="MainText"/>
        <w:spacing w:line="240" w:lineRule="auto"/>
        <w:rPr>
          <w:rFonts w:ascii="Arial" w:hAnsi="Arial" w:cs="Arial"/>
          <w:b/>
          <w:i/>
          <w:szCs w:val="22"/>
        </w:rPr>
      </w:pPr>
    </w:p>
    <w:p w14:paraId="708872A1" w14:textId="77777777" w:rsidR="00FC4381" w:rsidRPr="00D80DCC" w:rsidRDefault="006304C9" w:rsidP="0052745E">
      <w:pPr>
        <w:pStyle w:val="MainText"/>
        <w:numPr>
          <w:ilvl w:val="0"/>
          <w:numId w:val="29"/>
        </w:numPr>
        <w:spacing w:line="240" w:lineRule="auto"/>
        <w:rPr>
          <w:rFonts w:ascii="Arial" w:hAnsi="Arial" w:cs="Arial"/>
          <w:szCs w:val="22"/>
        </w:rPr>
      </w:pPr>
      <w:r>
        <w:rPr>
          <w:rFonts w:ascii="Arial" w:hAnsi="Arial" w:cs="Arial"/>
        </w:rPr>
        <w:t xml:space="preserve">The </w:t>
      </w:r>
      <w:r w:rsidR="00FC4381">
        <w:rPr>
          <w:rFonts w:ascii="Arial" w:hAnsi="Arial" w:cs="Arial"/>
        </w:rPr>
        <w:t xml:space="preserve">Supreme Court’s verdict in the Hemming case was published on 29 April.  The judgement was </w:t>
      </w:r>
      <w:r w:rsidR="00D80DCC">
        <w:rPr>
          <w:rFonts w:ascii="Arial" w:hAnsi="Arial" w:cs="Arial"/>
        </w:rPr>
        <w:t xml:space="preserve">generally very </w:t>
      </w:r>
      <w:r w:rsidR="00FC4381">
        <w:rPr>
          <w:rFonts w:ascii="Arial" w:hAnsi="Arial" w:cs="Arial"/>
        </w:rPr>
        <w:t xml:space="preserve">positive for local government. Westminster’s appeal was upheld, as the court ruled that Westminster were entitled to recover the cost of compliance and enforcement activity (in relation to both licensed and unlicensed operators) from licensees. However, the court referred to the European Court of Justice the question of </w:t>
      </w:r>
      <w:r w:rsidR="00FC4381" w:rsidRPr="00FC4381">
        <w:rPr>
          <w:rFonts w:ascii="Arial" w:hAnsi="Arial" w:cs="Arial"/>
          <w:i/>
        </w:rPr>
        <w:t xml:space="preserve">how </w:t>
      </w:r>
      <w:r w:rsidR="00FC4381">
        <w:rPr>
          <w:rFonts w:ascii="Arial" w:hAnsi="Arial" w:cs="Arial"/>
        </w:rPr>
        <w:t xml:space="preserve">Westminster levied the fees. </w:t>
      </w:r>
    </w:p>
    <w:p w14:paraId="3DA2830C" w14:textId="77777777" w:rsidR="00D80DCC" w:rsidRPr="00FC4381" w:rsidRDefault="00D80DCC" w:rsidP="00D80DCC">
      <w:pPr>
        <w:pStyle w:val="MainText"/>
        <w:spacing w:line="240" w:lineRule="auto"/>
        <w:ind w:left="360"/>
        <w:rPr>
          <w:rFonts w:ascii="Arial" w:hAnsi="Arial" w:cs="Arial"/>
          <w:szCs w:val="22"/>
        </w:rPr>
      </w:pPr>
    </w:p>
    <w:p w14:paraId="1E8A473E" w14:textId="77777777" w:rsidR="00FC4381" w:rsidRPr="00FC4381" w:rsidRDefault="00FC4381" w:rsidP="006304C9">
      <w:pPr>
        <w:pStyle w:val="MainText"/>
        <w:numPr>
          <w:ilvl w:val="0"/>
          <w:numId w:val="29"/>
        </w:numPr>
        <w:spacing w:line="240" w:lineRule="auto"/>
        <w:rPr>
          <w:rFonts w:ascii="Arial" w:hAnsi="Arial" w:cs="Arial"/>
          <w:szCs w:val="22"/>
        </w:rPr>
      </w:pPr>
      <w:r>
        <w:rPr>
          <w:rFonts w:ascii="Arial" w:hAnsi="Arial" w:cs="Arial"/>
        </w:rPr>
        <w:t>The court identified two possible approaches to charging fees:</w:t>
      </w:r>
    </w:p>
    <w:p w14:paraId="39DBCDDF" w14:textId="77777777" w:rsidR="00FC4381" w:rsidRPr="00FC4381" w:rsidRDefault="00FC4381" w:rsidP="00FC4381">
      <w:pPr>
        <w:pStyle w:val="MainText"/>
        <w:spacing w:line="240" w:lineRule="auto"/>
        <w:ind w:left="360"/>
        <w:rPr>
          <w:rFonts w:ascii="Arial" w:hAnsi="Arial" w:cs="Arial"/>
          <w:szCs w:val="22"/>
        </w:rPr>
      </w:pPr>
      <w:r>
        <w:rPr>
          <w:rFonts w:ascii="Arial" w:hAnsi="Arial" w:cs="Arial"/>
        </w:rPr>
        <w:t xml:space="preserve"> </w:t>
      </w:r>
    </w:p>
    <w:p w14:paraId="4075AE44" w14:textId="77777777" w:rsidR="00FC4381" w:rsidRDefault="00FC4381" w:rsidP="00FC4381">
      <w:pPr>
        <w:pStyle w:val="ListParagraph"/>
        <w:numPr>
          <w:ilvl w:val="1"/>
          <w:numId w:val="35"/>
        </w:numPr>
        <w:contextualSpacing/>
        <w:rPr>
          <w:rFonts w:ascii="Arial" w:hAnsi="Arial" w:cs="Arial"/>
        </w:rPr>
      </w:pPr>
      <w:r>
        <w:rPr>
          <w:rFonts w:ascii="Arial" w:hAnsi="Arial" w:cs="Arial"/>
        </w:rPr>
        <w:t>Whereby a council charges a fee upon application (covering the costs of authorisation procedures) and a subsequent fee to successful applicants (covering the cost of enforcing the framework) - the ‘type A’ approach, or</w:t>
      </w:r>
    </w:p>
    <w:p w14:paraId="7DAB40C3" w14:textId="77777777" w:rsidR="00FC4381" w:rsidRDefault="00D80DCC" w:rsidP="00FC4381">
      <w:pPr>
        <w:pStyle w:val="ListParagraph"/>
        <w:numPr>
          <w:ilvl w:val="1"/>
          <w:numId w:val="35"/>
        </w:numPr>
        <w:contextualSpacing/>
        <w:rPr>
          <w:rFonts w:ascii="Arial" w:hAnsi="Arial" w:cs="Arial"/>
        </w:rPr>
      </w:pPr>
      <w:r>
        <w:rPr>
          <w:rFonts w:ascii="Arial" w:hAnsi="Arial" w:cs="Arial"/>
        </w:rPr>
        <w:t>Where a council charges</w:t>
      </w:r>
      <w:r w:rsidR="00FC4381">
        <w:rPr>
          <w:rFonts w:ascii="Arial" w:hAnsi="Arial" w:cs="Arial"/>
        </w:rPr>
        <w:t xml:space="preserve"> a single fee on application covering all costs, on the basis that the relevant proportion of the </w:t>
      </w:r>
      <w:r>
        <w:rPr>
          <w:rFonts w:ascii="Arial" w:hAnsi="Arial" w:cs="Arial"/>
        </w:rPr>
        <w:t xml:space="preserve">fee (covering compliance and enforcement) </w:t>
      </w:r>
      <w:r w:rsidR="00FC4381">
        <w:rPr>
          <w:rFonts w:ascii="Arial" w:hAnsi="Arial" w:cs="Arial"/>
        </w:rPr>
        <w:t>would be refunded to unsuccessful applicants – the ‘type B’ approach.</w:t>
      </w:r>
    </w:p>
    <w:p w14:paraId="2DE085C8" w14:textId="77777777" w:rsidR="00FC4381" w:rsidRDefault="00FC4381" w:rsidP="00FC4381">
      <w:pPr>
        <w:pStyle w:val="ListParagraph"/>
        <w:ind w:left="792"/>
        <w:contextualSpacing/>
        <w:rPr>
          <w:rFonts w:ascii="Arial" w:hAnsi="Arial" w:cs="Arial"/>
        </w:rPr>
      </w:pPr>
    </w:p>
    <w:p w14:paraId="197916C3" w14:textId="77777777" w:rsidR="00FC4381" w:rsidRPr="00FC4381" w:rsidRDefault="00FC4381" w:rsidP="00FC4381">
      <w:pPr>
        <w:pStyle w:val="ListParagraph"/>
        <w:numPr>
          <w:ilvl w:val="0"/>
          <w:numId w:val="29"/>
        </w:numPr>
        <w:contextualSpacing/>
        <w:rPr>
          <w:rFonts w:ascii="Arial" w:hAnsi="Arial" w:cs="Arial"/>
        </w:rPr>
      </w:pPr>
      <w:r w:rsidRPr="00FC4381">
        <w:rPr>
          <w:rFonts w:ascii="Arial" w:hAnsi="Arial" w:cs="Arial"/>
        </w:rPr>
        <w:t>The Court found the type A approach of charging two fees is permissible under the Services Directive but felt that the type B approach of charging a single fee</w:t>
      </w:r>
      <w:r w:rsidR="00D80DCC">
        <w:rPr>
          <w:rFonts w:ascii="Arial" w:hAnsi="Arial" w:cs="Arial"/>
        </w:rPr>
        <w:t xml:space="preserve"> upfront was more problematic, on the basis that in legal terms it could mean that a charge has been </w:t>
      </w:r>
      <w:r w:rsidRPr="00FC4381">
        <w:rPr>
          <w:rFonts w:ascii="Arial" w:hAnsi="Arial" w:cs="Arial"/>
        </w:rPr>
        <w:t xml:space="preserve">incurred from the application, which is contrary to the Services Directive. The Court suggested that a charge could possibly include </w:t>
      </w:r>
      <w:proofErr w:type="gramStart"/>
      <w:r w:rsidRPr="00FC4381">
        <w:rPr>
          <w:rFonts w:ascii="Arial" w:hAnsi="Arial" w:cs="Arial"/>
        </w:rPr>
        <w:t>borrowing</w:t>
      </w:r>
      <w:r w:rsidR="00D80DCC">
        <w:rPr>
          <w:rFonts w:ascii="Arial" w:hAnsi="Arial" w:cs="Arial"/>
        </w:rPr>
        <w:t>,</w:t>
      </w:r>
      <w:proofErr w:type="gramEnd"/>
      <w:r w:rsidRPr="00FC4381">
        <w:rPr>
          <w:rFonts w:ascii="Arial" w:hAnsi="Arial" w:cs="Arial"/>
        </w:rPr>
        <w:t xml:space="preserve"> or loss of interest during the period in which the </w:t>
      </w:r>
      <w:r>
        <w:rPr>
          <w:rFonts w:ascii="Arial" w:hAnsi="Arial" w:cs="Arial"/>
        </w:rPr>
        <w:t>a</w:t>
      </w:r>
      <w:r w:rsidR="00D80DCC">
        <w:rPr>
          <w:rFonts w:ascii="Arial" w:hAnsi="Arial" w:cs="Arial"/>
        </w:rPr>
        <w:t>pplication was considered. O</w:t>
      </w:r>
      <w:r>
        <w:rPr>
          <w:rFonts w:ascii="Arial" w:hAnsi="Arial" w:cs="Arial"/>
        </w:rPr>
        <w:t>n that basis</w:t>
      </w:r>
      <w:r w:rsidR="00D80DCC">
        <w:rPr>
          <w:rFonts w:ascii="Arial" w:hAnsi="Arial" w:cs="Arial"/>
        </w:rPr>
        <w:t>, the court</w:t>
      </w:r>
      <w:r>
        <w:rPr>
          <w:rFonts w:ascii="Arial" w:hAnsi="Arial" w:cs="Arial"/>
        </w:rPr>
        <w:t xml:space="preserve"> referred the issue for consideration by the ECJ.</w:t>
      </w:r>
    </w:p>
    <w:p w14:paraId="556AE6CB" w14:textId="77777777" w:rsidR="00FC4381" w:rsidRPr="00FC4381" w:rsidRDefault="00FC4381" w:rsidP="00FC4381">
      <w:pPr>
        <w:pStyle w:val="MainText"/>
        <w:spacing w:line="240" w:lineRule="auto"/>
        <w:ind w:left="360"/>
        <w:rPr>
          <w:rFonts w:ascii="Arial" w:hAnsi="Arial" w:cs="Arial"/>
          <w:szCs w:val="22"/>
        </w:rPr>
      </w:pPr>
    </w:p>
    <w:p w14:paraId="0124DD2E" w14:textId="77777777" w:rsidR="006304C9" w:rsidRPr="00FC4381" w:rsidRDefault="00FC4381" w:rsidP="00FC4381">
      <w:pPr>
        <w:pStyle w:val="MainText"/>
        <w:numPr>
          <w:ilvl w:val="0"/>
          <w:numId w:val="29"/>
        </w:numPr>
        <w:spacing w:line="240" w:lineRule="auto"/>
        <w:rPr>
          <w:rFonts w:ascii="Arial" w:hAnsi="Arial" w:cs="Arial"/>
          <w:szCs w:val="22"/>
        </w:rPr>
      </w:pPr>
      <w:r>
        <w:rPr>
          <w:rFonts w:ascii="Arial" w:hAnsi="Arial" w:cs="Arial"/>
        </w:rPr>
        <w:t xml:space="preserve">There is therefore an ongoing risk that, were the ECJ to rule that the type B approach – applied by most councils across most licensing frameworks – is unlawful, councils could </w:t>
      </w:r>
      <w:r>
        <w:rPr>
          <w:rFonts w:ascii="Arial" w:hAnsi="Arial" w:cs="Arial"/>
        </w:rPr>
        <w:lastRenderedPageBreak/>
        <w:t>still be subject to claims for restitution. Such an outcome would also have implications for how councils charge licensing fees, requiring a more resource intensive approach of charging separate fees at different stages of the process.</w:t>
      </w:r>
    </w:p>
    <w:p w14:paraId="7E45E29B" w14:textId="77777777" w:rsidR="00FC4381" w:rsidRDefault="00FC4381" w:rsidP="00FC4381">
      <w:pPr>
        <w:pStyle w:val="ListParagraph"/>
        <w:rPr>
          <w:rFonts w:ascii="Arial" w:hAnsi="Arial" w:cs="Arial"/>
          <w:szCs w:val="22"/>
        </w:rPr>
      </w:pPr>
    </w:p>
    <w:p w14:paraId="5A135DA7" w14:textId="77777777" w:rsidR="00FC4381" w:rsidRDefault="00FC4381" w:rsidP="00FC4381">
      <w:pPr>
        <w:pStyle w:val="MainText"/>
        <w:numPr>
          <w:ilvl w:val="0"/>
          <w:numId w:val="29"/>
        </w:numPr>
        <w:spacing w:line="240" w:lineRule="auto"/>
        <w:rPr>
          <w:rFonts w:ascii="Arial" w:hAnsi="Arial" w:cs="Arial"/>
          <w:szCs w:val="22"/>
        </w:rPr>
      </w:pPr>
      <w:r>
        <w:rPr>
          <w:rFonts w:ascii="Arial" w:hAnsi="Arial" w:cs="Arial"/>
          <w:szCs w:val="22"/>
        </w:rPr>
        <w:t xml:space="preserve">We have issued a circular to councillors and licensing officers summarising the Supreme Court’s judgement and next stage of the legal process. We have also committed to publishing a further note to councils in late summer / </w:t>
      </w:r>
      <w:proofErr w:type="gramStart"/>
      <w:r>
        <w:rPr>
          <w:rFonts w:ascii="Arial" w:hAnsi="Arial" w:cs="Arial"/>
          <w:szCs w:val="22"/>
        </w:rPr>
        <w:t>Autumn</w:t>
      </w:r>
      <w:proofErr w:type="gramEnd"/>
      <w:r>
        <w:rPr>
          <w:rFonts w:ascii="Arial" w:hAnsi="Arial" w:cs="Arial"/>
          <w:szCs w:val="22"/>
        </w:rPr>
        <w:t>, to coincide with fe</w:t>
      </w:r>
      <w:r w:rsidR="00050535">
        <w:rPr>
          <w:rFonts w:ascii="Arial" w:hAnsi="Arial" w:cs="Arial"/>
          <w:szCs w:val="22"/>
        </w:rPr>
        <w:t>e and budget setting processes. This will also enable us to reflect our expected work on licensing fees more widely (see below)</w:t>
      </w:r>
    </w:p>
    <w:p w14:paraId="33FCB319" w14:textId="77777777" w:rsidR="00FC4381" w:rsidRDefault="00FC4381" w:rsidP="00050535">
      <w:pPr>
        <w:rPr>
          <w:rFonts w:ascii="Arial" w:hAnsi="Arial" w:cs="Arial"/>
          <w:szCs w:val="22"/>
        </w:rPr>
      </w:pPr>
    </w:p>
    <w:p w14:paraId="006FA159" w14:textId="77777777" w:rsidR="00050535" w:rsidRPr="00050535" w:rsidRDefault="00050535" w:rsidP="00050535">
      <w:pPr>
        <w:rPr>
          <w:rFonts w:ascii="Arial" w:hAnsi="Arial" w:cs="Arial"/>
          <w:b/>
          <w:szCs w:val="22"/>
        </w:rPr>
      </w:pPr>
      <w:r w:rsidRPr="00050535">
        <w:rPr>
          <w:rFonts w:ascii="Arial" w:hAnsi="Arial" w:cs="Arial"/>
          <w:b/>
          <w:szCs w:val="22"/>
        </w:rPr>
        <w:t>Licensing fees – government against localisation</w:t>
      </w:r>
    </w:p>
    <w:p w14:paraId="558D8FF3" w14:textId="77777777" w:rsidR="00FC4381" w:rsidRDefault="00050535" w:rsidP="00FC4381">
      <w:pPr>
        <w:pStyle w:val="MainText"/>
        <w:numPr>
          <w:ilvl w:val="0"/>
          <w:numId w:val="29"/>
        </w:numPr>
        <w:spacing w:line="240" w:lineRule="auto"/>
        <w:rPr>
          <w:rFonts w:ascii="Arial" w:hAnsi="Arial" w:cs="Arial"/>
          <w:szCs w:val="22"/>
        </w:rPr>
      </w:pPr>
      <w:r>
        <w:rPr>
          <w:rFonts w:ascii="Arial" w:hAnsi="Arial" w:cs="Arial"/>
          <w:szCs w:val="22"/>
        </w:rPr>
        <w:t>In February</w:t>
      </w:r>
      <w:r w:rsidR="00D80DCC">
        <w:rPr>
          <w:rFonts w:ascii="Arial" w:hAnsi="Arial" w:cs="Arial"/>
          <w:szCs w:val="22"/>
        </w:rPr>
        <w:t xml:space="preserve"> the government announced, </w:t>
      </w:r>
      <w:r>
        <w:rPr>
          <w:rFonts w:ascii="Arial" w:hAnsi="Arial" w:cs="Arial"/>
          <w:szCs w:val="22"/>
        </w:rPr>
        <w:t xml:space="preserve">that following its 2014 consultation on localisation of licensing fees, it had decided against the introduction of locally set licensing fees. The decision was prompted by a limited response rate to the consultation’s request for detailed information about the current costs of </w:t>
      </w:r>
      <w:r w:rsidR="00D80DCC">
        <w:rPr>
          <w:rFonts w:ascii="Arial" w:hAnsi="Arial" w:cs="Arial"/>
          <w:szCs w:val="22"/>
        </w:rPr>
        <w:t xml:space="preserve">running the </w:t>
      </w:r>
      <w:r>
        <w:rPr>
          <w:rFonts w:ascii="Arial" w:hAnsi="Arial" w:cs="Arial"/>
          <w:szCs w:val="22"/>
        </w:rPr>
        <w:t>licensing</w:t>
      </w:r>
      <w:r w:rsidR="00D80DCC">
        <w:rPr>
          <w:rFonts w:ascii="Arial" w:hAnsi="Arial" w:cs="Arial"/>
          <w:szCs w:val="22"/>
        </w:rPr>
        <w:t xml:space="preserve"> framework</w:t>
      </w:r>
      <w:r>
        <w:rPr>
          <w:rFonts w:ascii="Arial" w:hAnsi="Arial" w:cs="Arial"/>
          <w:szCs w:val="22"/>
        </w:rPr>
        <w:t>. With just 20 councils providing this information, government argued that the evidence b</w:t>
      </w:r>
      <w:r w:rsidR="00C23FAE">
        <w:rPr>
          <w:rFonts w:ascii="Arial" w:hAnsi="Arial" w:cs="Arial"/>
          <w:szCs w:val="22"/>
        </w:rPr>
        <w:t>ased for localisation was both</w:t>
      </w:r>
      <w:r>
        <w:rPr>
          <w:rFonts w:ascii="Arial" w:hAnsi="Arial" w:cs="Arial"/>
          <w:szCs w:val="22"/>
        </w:rPr>
        <w:t xml:space="preserve"> limited</w:t>
      </w:r>
      <w:r w:rsidR="00D80DCC">
        <w:rPr>
          <w:rFonts w:ascii="Arial" w:hAnsi="Arial" w:cs="Arial"/>
          <w:szCs w:val="22"/>
        </w:rPr>
        <w:t xml:space="preserve"> and contradictory, </w:t>
      </w:r>
      <w:r>
        <w:rPr>
          <w:rFonts w:ascii="Arial" w:hAnsi="Arial" w:cs="Arial"/>
          <w:szCs w:val="22"/>
        </w:rPr>
        <w:t xml:space="preserve">with some </w:t>
      </w:r>
      <w:r w:rsidR="00C23FAE">
        <w:rPr>
          <w:rFonts w:ascii="Arial" w:hAnsi="Arial" w:cs="Arial"/>
          <w:szCs w:val="22"/>
        </w:rPr>
        <w:t xml:space="preserve">of the </w:t>
      </w:r>
      <w:r>
        <w:rPr>
          <w:rFonts w:ascii="Arial" w:hAnsi="Arial" w:cs="Arial"/>
          <w:szCs w:val="22"/>
        </w:rPr>
        <w:t xml:space="preserve">evidence provided </w:t>
      </w:r>
      <w:r w:rsidR="00C23FAE">
        <w:rPr>
          <w:rFonts w:ascii="Arial" w:hAnsi="Arial" w:cs="Arial"/>
          <w:szCs w:val="22"/>
        </w:rPr>
        <w:t xml:space="preserve">actually </w:t>
      </w:r>
      <w:r>
        <w:rPr>
          <w:rFonts w:ascii="Arial" w:hAnsi="Arial" w:cs="Arial"/>
          <w:szCs w:val="22"/>
        </w:rPr>
        <w:t xml:space="preserve">suggesting fees should </w:t>
      </w:r>
      <w:r w:rsidR="00D80DCC">
        <w:rPr>
          <w:rFonts w:ascii="Arial" w:hAnsi="Arial" w:cs="Arial"/>
          <w:szCs w:val="22"/>
        </w:rPr>
        <w:t>fall</w:t>
      </w:r>
      <w:r>
        <w:rPr>
          <w:rFonts w:ascii="Arial" w:hAnsi="Arial" w:cs="Arial"/>
          <w:szCs w:val="22"/>
        </w:rPr>
        <w:t>.</w:t>
      </w:r>
    </w:p>
    <w:p w14:paraId="32D83518" w14:textId="77777777" w:rsidR="00045E94" w:rsidRDefault="00045E94" w:rsidP="00045E94">
      <w:pPr>
        <w:pStyle w:val="MainText"/>
        <w:spacing w:line="240" w:lineRule="auto"/>
        <w:ind w:left="360"/>
        <w:rPr>
          <w:rFonts w:ascii="Arial" w:hAnsi="Arial" w:cs="Arial"/>
          <w:szCs w:val="22"/>
        </w:rPr>
      </w:pPr>
    </w:p>
    <w:p w14:paraId="2B79BA87" w14:textId="77777777" w:rsidR="00050535" w:rsidRDefault="00050535" w:rsidP="00FC4381">
      <w:pPr>
        <w:pStyle w:val="MainText"/>
        <w:numPr>
          <w:ilvl w:val="0"/>
          <w:numId w:val="29"/>
        </w:numPr>
        <w:spacing w:line="240" w:lineRule="auto"/>
        <w:rPr>
          <w:rFonts w:ascii="Arial" w:hAnsi="Arial" w:cs="Arial"/>
          <w:szCs w:val="22"/>
        </w:rPr>
      </w:pPr>
      <w:r>
        <w:rPr>
          <w:rFonts w:ascii="Arial" w:hAnsi="Arial" w:cs="Arial"/>
          <w:szCs w:val="22"/>
        </w:rPr>
        <w:t>The previous government invited the LGA to work with the Home Office to develop a fuller picture of current costs across a representative sample of councils (</w:t>
      </w:r>
      <w:r w:rsidR="00C23FAE">
        <w:rPr>
          <w:rFonts w:ascii="Arial" w:hAnsi="Arial" w:cs="Arial"/>
          <w:szCs w:val="22"/>
        </w:rPr>
        <w:t xml:space="preserve">considered to be </w:t>
      </w:r>
      <w:r>
        <w:rPr>
          <w:rFonts w:ascii="Arial" w:hAnsi="Arial" w:cs="Arial"/>
          <w:szCs w:val="22"/>
        </w:rPr>
        <w:t>40% of the sector).</w:t>
      </w:r>
      <w:r w:rsidR="00C23FAE">
        <w:rPr>
          <w:rFonts w:ascii="Arial" w:hAnsi="Arial" w:cs="Arial"/>
          <w:szCs w:val="22"/>
        </w:rPr>
        <w:t xml:space="preserve"> It also advised that previous evidence (</w:t>
      </w:r>
      <w:proofErr w:type="spellStart"/>
      <w:r w:rsidR="00C23FAE">
        <w:rPr>
          <w:rFonts w:ascii="Arial" w:hAnsi="Arial" w:cs="Arial"/>
          <w:szCs w:val="22"/>
        </w:rPr>
        <w:t>ie</w:t>
      </w:r>
      <w:proofErr w:type="spellEnd"/>
      <w:r w:rsidR="00C23FAE">
        <w:rPr>
          <w:rFonts w:ascii="Arial" w:hAnsi="Arial" w:cs="Arial"/>
          <w:szCs w:val="22"/>
        </w:rPr>
        <w:t xml:space="preserve"> the 2007 Elton review) was no longer considered relevant, meaning that the sector needs to develop a completely new evidence base to support</w:t>
      </w:r>
      <w:r w:rsidR="00D80DCC">
        <w:rPr>
          <w:rFonts w:ascii="Arial" w:hAnsi="Arial" w:cs="Arial"/>
          <w:szCs w:val="22"/>
        </w:rPr>
        <w:t xml:space="preserve"> not just localisation, but</w:t>
      </w:r>
      <w:r w:rsidR="00C23FAE">
        <w:rPr>
          <w:rFonts w:ascii="Arial" w:hAnsi="Arial" w:cs="Arial"/>
          <w:szCs w:val="22"/>
        </w:rPr>
        <w:t xml:space="preserve"> even an increase in nationally set fees.</w:t>
      </w:r>
    </w:p>
    <w:p w14:paraId="77F59A97" w14:textId="77777777" w:rsidR="00C23FAE" w:rsidRDefault="00C23FAE" w:rsidP="00C23FAE">
      <w:pPr>
        <w:pStyle w:val="MainText"/>
        <w:spacing w:line="240" w:lineRule="auto"/>
        <w:ind w:left="360"/>
        <w:rPr>
          <w:rFonts w:ascii="Arial" w:hAnsi="Arial" w:cs="Arial"/>
          <w:szCs w:val="22"/>
        </w:rPr>
      </w:pPr>
    </w:p>
    <w:p w14:paraId="243892FC" w14:textId="77777777" w:rsidR="00050535" w:rsidRDefault="00C23FAE" w:rsidP="00FC4381">
      <w:pPr>
        <w:pStyle w:val="MainText"/>
        <w:numPr>
          <w:ilvl w:val="0"/>
          <w:numId w:val="29"/>
        </w:numPr>
        <w:spacing w:line="240" w:lineRule="auto"/>
        <w:rPr>
          <w:rFonts w:ascii="Arial" w:hAnsi="Arial" w:cs="Arial"/>
          <w:szCs w:val="22"/>
        </w:rPr>
      </w:pPr>
      <w:r>
        <w:rPr>
          <w:rFonts w:ascii="Arial" w:hAnsi="Arial" w:cs="Arial"/>
          <w:szCs w:val="22"/>
        </w:rPr>
        <w:t xml:space="preserve">We have confirmed that we are willing to undertake this work with the Home Office. However, before commencing this work – which we anticipate would require external support, and involve local finance teams as well as licensing officers - we will be seeking assurances from the new Minister that </w:t>
      </w:r>
      <w:r w:rsidR="00D80DCC">
        <w:rPr>
          <w:rFonts w:ascii="Arial" w:hAnsi="Arial" w:cs="Arial"/>
          <w:szCs w:val="22"/>
        </w:rPr>
        <w:t>the new government</w:t>
      </w:r>
      <w:r>
        <w:rPr>
          <w:rFonts w:ascii="Arial" w:hAnsi="Arial" w:cs="Arial"/>
          <w:szCs w:val="22"/>
        </w:rPr>
        <w:t xml:space="preserve"> remains </w:t>
      </w:r>
      <w:r w:rsidR="00D80DCC">
        <w:rPr>
          <w:rFonts w:ascii="Arial" w:hAnsi="Arial" w:cs="Arial"/>
          <w:szCs w:val="22"/>
        </w:rPr>
        <w:t>committed</w:t>
      </w:r>
      <w:r>
        <w:rPr>
          <w:rFonts w:ascii="Arial" w:hAnsi="Arial" w:cs="Arial"/>
          <w:szCs w:val="22"/>
        </w:rPr>
        <w:t xml:space="preserve"> in principle to either localisation or at the very least increases in nationally set fees. This is due to comments during the election campaign suggesting that the Conservative party intended to freeze licensing fees</w:t>
      </w:r>
      <w:r w:rsidR="00D80DCC">
        <w:rPr>
          <w:rFonts w:ascii="Arial" w:hAnsi="Arial" w:cs="Arial"/>
          <w:szCs w:val="22"/>
        </w:rPr>
        <w:t>, although this may relate solely to community premises</w:t>
      </w:r>
      <w:r>
        <w:rPr>
          <w:rFonts w:ascii="Arial" w:hAnsi="Arial" w:cs="Arial"/>
          <w:szCs w:val="22"/>
        </w:rPr>
        <w:t xml:space="preserve">. </w:t>
      </w:r>
    </w:p>
    <w:p w14:paraId="296B9867" w14:textId="77777777" w:rsidR="00C23FAE" w:rsidRDefault="00C23FAE" w:rsidP="00C23FAE">
      <w:pPr>
        <w:pStyle w:val="ListParagraph"/>
        <w:rPr>
          <w:rFonts w:ascii="Arial" w:hAnsi="Arial" w:cs="Arial"/>
          <w:szCs w:val="22"/>
        </w:rPr>
      </w:pPr>
    </w:p>
    <w:p w14:paraId="1FC26C81" w14:textId="77777777" w:rsidR="00C23FAE" w:rsidRDefault="00C23FAE" w:rsidP="00FC4381">
      <w:pPr>
        <w:pStyle w:val="MainText"/>
        <w:numPr>
          <w:ilvl w:val="0"/>
          <w:numId w:val="29"/>
        </w:numPr>
        <w:spacing w:line="240" w:lineRule="auto"/>
        <w:rPr>
          <w:rFonts w:ascii="Arial" w:hAnsi="Arial" w:cs="Arial"/>
          <w:szCs w:val="22"/>
        </w:rPr>
      </w:pPr>
      <w:r>
        <w:rPr>
          <w:rFonts w:ascii="Arial" w:hAnsi="Arial" w:cs="Arial"/>
          <w:szCs w:val="22"/>
        </w:rPr>
        <w:t xml:space="preserve">A detailed study of licensing fees </w:t>
      </w:r>
      <w:r w:rsidR="00D80DCC">
        <w:rPr>
          <w:rFonts w:ascii="Arial" w:hAnsi="Arial" w:cs="Arial"/>
          <w:szCs w:val="22"/>
        </w:rPr>
        <w:t>would</w:t>
      </w:r>
      <w:r>
        <w:rPr>
          <w:rFonts w:ascii="Arial" w:hAnsi="Arial" w:cs="Arial"/>
          <w:szCs w:val="22"/>
        </w:rPr>
        <w:t xml:space="preserve"> require councils to evidence the breakdown of different costs in the licensing process, </w:t>
      </w:r>
      <w:proofErr w:type="spellStart"/>
      <w:r>
        <w:rPr>
          <w:rFonts w:ascii="Arial" w:hAnsi="Arial" w:cs="Arial"/>
          <w:szCs w:val="22"/>
        </w:rPr>
        <w:t>eg</w:t>
      </w:r>
      <w:proofErr w:type="spellEnd"/>
      <w:r>
        <w:rPr>
          <w:rFonts w:ascii="Arial" w:hAnsi="Arial" w:cs="Arial"/>
          <w:szCs w:val="22"/>
        </w:rPr>
        <w:t xml:space="preserve"> application processes, compliance and enforcement, renewals etc. This is of course relevant to the potential implications of the Hemming case</w:t>
      </w:r>
      <w:r w:rsidR="00D80DCC">
        <w:rPr>
          <w:rFonts w:ascii="Arial" w:hAnsi="Arial" w:cs="Arial"/>
          <w:szCs w:val="22"/>
        </w:rPr>
        <w:t>, as a result of which some councils may decide to separate out licensing fees in other areas</w:t>
      </w:r>
      <w:r>
        <w:rPr>
          <w:rFonts w:ascii="Arial" w:hAnsi="Arial" w:cs="Arial"/>
          <w:szCs w:val="22"/>
        </w:rPr>
        <w:t>.</w:t>
      </w:r>
    </w:p>
    <w:p w14:paraId="00C9567A" w14:textId="77777777" w:rsidR="007E5256" w:rsidRDefault="007E5256" w:rsidP="007E5256">
      <w:pPr>
        <w:rPr>
          <w:rFonts w:ascii="Arial" w:hAnsi="Arial" w:cs="Arial"/>
          <w:szCs w:val="22"/>
        </w:rPr>
      </w:pPr>
    </w:p>
    <w:p w14:paraId="47072FFB" w14:textId="77777777" w:rsidR="007E5256" w:rsidRDefault="007E5256" w:rsidP="007E5256">
      <w:pPr>
        <w:rPr>
          <w:rFonts w:ascii="Arial" w:hAnsi="Arial" w:cs="Arial"/>
          <w:b/>
          <w:i/>
          <w:szCs w:val="22"/>
        </w:rPr>
      </w:pPr>
      <w:r w:rsidRPr="007E5256">
        <w:rPr>
          <w:rFonts w:ascii="Arial" w:hAnsi="Arial" w:cs="Arial"/>
          <w:b/>
          <w:i/>
          <w:szCs w:val="22"/>
        </w:rPr>
        <w:t>Taxi licensing handbook and conferences</w:t>
      </w:r>
    </w:p>
    <w:p w14:paraId="3413E9AC" w14:textId="77777777" w:rsidR="005F06B0" w:rsidRPr="007E5256" w:rsidRDefault="005F06B0" w:rsidP="007E5256">
      <w:pPr>
        <w:rPr>
          <w:rFonts w:ascii="Arial" w:hAnsi="Arial" w:cs="Arial"/>
          <w:b/>
          <w:i/>
          <w:szCs w:val="22"/>
        </w:rPr>
      </w:pPr>
    </w:p>
    <w:p w14:paraId="79C889B9" w14:textId="77777777" w:rsidR="007E5256" w:rsidRDefault="00734FDF" w:rsidP="00FC4381">
      <w:pPr>
        <w:pStyle w:val="MainText"/>
        <w:numPr>
          <w:ilvl w:val="0"/>
          <w:numId w:val="29"/>
        </w:numPr>
        <w:spacing w:line="240" w:lineRule="auto"/>
        <w:rPr>
          <w:rFonts w:ascii="Arial" w:hAnsi="Arial" w:cs="Arial"/>
          <w:szCs w:val="22"/>
        </w:rPr>
      </w:pPr>
      <w:r>
        <w:rPr>
          <w:rFonts w:ascii="Arial" w:hAnsi="Arial" w:cs="Arial"/>
          <w:szCs w:val="22"/>
        </w:rPr>
        <w:t xml:space="preserve">In March, we ran two extremely successful conferences on taxi licensing. Over 200 delegates attended events in Manchester and London, covering issues relating to child sexual exploitation, data sharing with the police and licensing reform. Our revised and expanded </w:t>
      </w:r>
      <w:hyperlink r:id="rId12" w:history="1">
        <w:r w:rsidRPr="00734FDF">
          <w:rPr>
            <w:rStyle w:val="Hyperlink"/>
            <w:rFonts w:ascii="Arial" w:hAnsi="Arial" w:cs="Arial"/>
            <w:szCs w:val="22"/>
          </w:rPr>
          <w:t>taxi licensing handbook</w:t>
        </w:r>
      </w:hyperlink>
      <w:r>
        <w:rPr>
          <w:rFonts w:ascii="Arial" w:hAnsi="Arial" w:cs="Arial"/>
          <w:szCs w:val="22"/>
        </w:rPr>
        <w:t xml:space="preserve"> for councillors was launched at the events, and has been well received by members.</w:t>
      </w:r>
    </w:p>
    <w:p w14:paraId="1D5865D6" w14:textId="77777777" w:rsidR="0052745E" w:rsidRDefault="0052745E" w:rsidP="0052745E">
      <w:pPr>
        <w:pStyle w:val="MainText"/>
        <w:spacing w:line="240" w:lineRule="auto"/>
        <w:ind w:left="360"/>
        <w:rPr>
          <w:rFonts w:ascii="Arial" w:hAnsi="Arial" w:cs="Arial"/>
          <w:szCs w:val="22"/>
        </w:rPr>
      </w:pPr>
    </w:p>
    <w:p w14:paraId="63477E4F" w14:textId="77777777" w:rsidR="0052745E" w:rsidRDefault="0052745E" w:rsidP="00FC4381">
      <w:pPr>
        <w:pStyle w:val="MainText"/>
        <w:numPr>
          <w:ilvl w:val="0"/>
          <w:numId w:val="29"/>
        </w:numPr>
        <w:spacing w:line="240" w:lineRule="auto"/>
        <w:rPr>
          <w:rFonts w:ascii="Arial" w:hAnsi="Arial" w:cs="Arial"/>
          <w:szCs w:val="22"/>
        </w:rPr>
      </w:pPr>
      <w:r>
        <w:rPr>
          <w:rFonts w:ascii="Arial" w:hAnsi="Arial" w:cs="Arial"/>
          <w:szCs w:val="22"/>
        </w:rPr>
        <w:t xml:space="preserve">The LGA continues to offer bespoke support to those areas experiencing CSE, including the provision of mentors to elected members overseeing the licensing process. </w:t>
      </w:r>
    </w:p>
    <w:p w14:paraId="48C5860C" w14:textId="77777777" w:rsidR="00C23FAE" w:rsidRDefault="00C23FAE" w:rsidP="00C23FAE">
      <w:pPr>
        <w:pStyle w:val="MainText"/>
        <w:spacing w:line="240" w:lineRule="auto"/>
        <w:rPr>
          <w:rFonts w:ascii="Arial" w:hAnsi="Arial" w:cs="Arial"/>
          <w:szCs w:val="22"/>
        </w:rPr>
      </w:pPr>
    </w:p>
    <w:p w14:paraId="5CB46308" w14:textId="77777777" w:rsidR="007E4C1A" w:rsidRPr="003D203F" w:rsidRDefault="007E4C1A" w:rsidP="00C23FAE">
      <w:pPr>
        <w:pStyle w:val="MainText"/>
        <w:spacing w:line="240" w:lineRule="auto"/>
        <w:rPr>
          <w:rFonts w:ascii="Arial" w:hAnsi="Arial" w:cs="Arial"/>
          <w:szCs w:val="22"/>
        </w:rPr>
      </w:pPr>
    </w:p>
    <w:p w14:paraId="0F482099" w14:textId="77777777" w:rsidR="003D203F" w:rsidRDefault="007A457B" w:rsidP="003D203F">
      <w:pPr>
        <w:pStyle w:val="MainText"/>
        <w:spacing w:line="240" w:lineRule="auto"/>
        <w:rPr>
          <w:rFonts w:ascii="Arial" w:hAnsi="Arial" w:cs="Arial"/>
          <w:b/>
          <w:i/>
        </w:rPr>
      </w:pPr>
      <w:r>
        <w:rPr>
          <w:rFonts w:ascii="Arial" w:hAnsi="Arial" w:cs="Arial"/>
          <w:b/>
          <w:i/>
        </w:rPr>
        <w:t xml:space="preserve">Gambling </w:t>
      </w:r>
      <w:r w:rsidR="00C50EFF">
        <w:rPr>
          <w:rFonts w:ascii="Arial" w:hAnsi="Arial" w:cs="Arial"/>
          <w:b/>
          <w:i/>
        </w:rPr>
        <w:t>handbook</w:t>
      </w:r>
    </w:p>
    <w:p w14:paraId="7AF847B8" w14:textId="77777777" w:rsidR="005F06B0" w:rsidRPr="003D203F" w:rsidRDefault="005F06B0" w:rsidP="003D203F">
      <w:pPr>
        <w:pStyle w:val="MainText"/>
        <w:spacing w:line="240" w:lineRule="auto"/>
        <w:rPr>
          <w:rFonts w:ascii="Arial" w:hAnsi="Arial" w:cs="Arial"/>
          <w:b/>
          <w:i/>
          <w:szCs w:val="22"/>
        </w:rPr>
      </w:pPr>
    </w:p>
    <w:p w14:paraId="5D173644" w14:textId="77777777" w:rsidR="006304C9" w:rsidRPr="00734FDF" w:rsidRDefault="00734FDF" w:rsidP="00C97E37">
      <w:pPr>
        <w:pStyle w:val="MainText"/>
        <w:numPr>
          <w:ilvl w:val="0"/>
          <w:numId w:val="29"/>
        </w:numPr>
        <w:spacing w:line="240" w:lineRule="auto"/>
        <w:rPr>
          <w:rFonts w:ascii="Arial" w:hAnsi="Arial" w:cs="Arial"/>
        </w:rPr>
      </w:pPr>
      <w:r>
        <w:rPr>
          <w:rFonts w:ascii="Arial" w:hAnsi="Arial" w:cs="Arial"/>
          <w:szCs w:val="22"/>
        </w:rPr>
        <w:t>Following publication of the taxi licensing handbook, we have also developed a new councillor handbook on gambling regulation. The handbook summarises recent and forthcoming changes announced by the Gambling Commission which are intended to support both licensing authorities</w:t>
      </w:r>
      <w:r w:rsidR="007949B6">
        <w:rPr>
          <w:rFonts w:ascii="Arial" w:hAnsi="Arial" w:cs="Arial"/>
          <w:szCs w:val="22"/>
        </w:rPr>
        <w:t xml:space="preserve"> and businesses</w:t>
      </w:r>
      <w:r>
        <w:rPr>
          <w:rFonts w:ascii="Arial" w:hAnsi="Arial" w:cs="Arial"/>
          <w:szCs w:val="22"/>
        </w:rPr>
        <w:t xml:space="preserve"> in developing </w:t>
      </w:r>
      <w:r w:rsidR="007949B6">
        <w:rPr>
          <w:rFonts w:ascii="Arial" w:hAnsi="Arial" w:cs="Arial"/>
          <w:szCs w:val="22"/>
        </w:rPr>
        <w:t>approaches which are</w:t>
      </w:r>
      <w:r>
        <w:rPr>
          <w:rFonts w:ascii="Arial" w:hAnsi="Arial" w:cs="Arial"/>
          <w:szCs w:val="22"/>
        </w:rPr>
        <w:t xml:space="preserve"> much more locally focused.</w:t>
      </w:r>
      <w:r w:rsidR="007949B6">
        <w:rPr>
          <w:rFonts w:ascii="Arial" w:hAnsi="Arial" w:cs="Arial"/>
          <w:szCs w:val="22"/>
        </w:rPr>
        <w:t xml:space="preserve"> The new handbook will be published in the next few weeks.</w:t>
      </w:r>
    </w:p>
    <w:p w14:paraId="5E89C0BE" w14:textId="77777777" w:rsidR="00734FDF" w:rsidRDefault="00734FDF" w:rsidP="00734FDF">
      <w:pPr>
        <w:pStyle w:val="MainText"/>
        <w:spacing w:line="240" w:lineRule="auto"/>
        <w:rPr>
          <w:rFonts w:ascii="Arial" w:hAnsi="Arial" w:cs="Arial"/>
          <w:szCs w:val="22"/>
        </w:rPr>
      </w:pPr>
    </w:p>
    <w:p w14:paraId="65B42465" w14:textId="77777777" w:rsidR="00734FDF" w:rsidRDefault="00734FDF" w:rsidP="00734FDF">
      <w:pPr>
        <w:pStyle w:val="MainText"/>
        <w:spacing w:line="240" w:lineRule="auto"/>
        <w:rPr>
          <w:rFonts w:ascii="Arial" w:hAnsi="Arial" w:cs="Arial"/>
          <w:b/>
          <w:i/>
          <w:szCs w:val="22"/>
        </w:rPr>
      </w:pPr>
      <w:r w:rsidRPr="00734FDF">
        <w:rPr>
          <w:rFonts w:ascii="Arial" w:hAnsi="Arial" w:cs="Arial"/>
          <w:b/>
          <w:i/>
          <w:szCs w:val="22"/>
        </w:rPr>
        <w:t>Westminster-Manchester gambling research</w:t>
      </w:r>
    </w:p>
    <w:p w14:paraId="21E44EB0" w14:textId="77777777" w:rsidR="005F06B0" w:rsidRPr="00734FDF" w:rsidRDefault="005F06B0" w:rsidP="00734FDF">
      <w:pPr>
        <w:pStyle w:val="MainText"/>
        <w:spacing w:line="240" w:lineRule="auto"/>
        <w:rPr>
          <w:rFonts w:ascii="Arial" w:hAnsi="Arial" w:cs="Arial"/>
          <w:b/>
          <w:i/>
        </w:rPr>
      </w:pPr>
    </w:p>
    <w:p w14:paraId="4AE51BB2" w14:textId="77777777" w:rsidR="00734FDF" w:rsidRPr="007E5256" w:rsidRDefault="007949B6" w:rsidP="00C97E37">
      <w:pPr>
        <w:pStyle w:val="MainText"/>
        <w:numPr>
          <w:ilvl w:val="0"/>
          <w:numId w:val="29"/>
        </w:numPr>
        <w:spacing w:line="240" w:lineRule="auto"/>
        <w:rPr>
          <w:rFonts w:ascii="Arial" w:hAnsi="Arial" w:cs="Arial"/>
        </w:rPr>
      </w:pPr>
      <w:r>
        <w:rPr>
          <w:rFonts w:ascii="Arial" w:hAnsi="Arial" w:cs="Arial"/>
        </w:rPr>
        <w:t>In March, Westminster and Manchester councils launched a research project considering the scope for identifying and mapping local areas’ vulnerability to gambling related harm. The project has been part funded by the LGA, and the findings are intended to help councils understand how local factors and issues should shape local gambling policies. The findings of the project will be made available to all councils when the project concludes.</w:t>
      </w:r>
    </w:p>
    <w:p w14:paraId="52644FCF" w14:textId="77777777" w:rsidR="007E5256" w:rsidRDefault="007E5256" w:rsidP="007E5256">
      <w:pPr>
        <w:pStyle w:val="MainText"/>
        <w:spacing w:line="240" w:lineRule="auto"/>
        <w:rPr>
          <w:rFonts w:ascii="Arial" w:hAnsi="Arial" w:cs="Arial"/>
          <w:szCs w:val="22"/>
        </w:rPr>
      </w:pPr>
    </w:p>
    <w:p w14:paraId="6D56915D" w14:textId="77777777" w:rsidR="007E5256" w:rsidRPr="007A457B" w:rsidRDefault="007E5256" w:rsidP="007E5256">
      <w:pPr>
        <w:pStyle w:val="MainText"/>
        <w:spacing w:line="240" w:lineRule="auto"/>
        <w:rPr>
          <w:rFonts w:ascii="Arial" w:hAnsi="Arial" w:cs="Arial"/>
          <w:b/>
          <w:sz w:val="24"/>
          <w:szCs w:val="22"/>
        </w:rPr>
      </w:pPr>
      <w:r w:rsidRPr="007A457B">
        <w:rPr>
          <w:rFonts w:ascii="Arial" w:hAnsi="Arial" w:cs="Arial"/>
          <w:b/>
          <w:sz w:val="24"/>
          <w:szCs w:val="22"/>
        </w:rPr>
        <w:t>Other issues</w:t>
      </w:r>
    </w:p>
    <w:p w14:paraId="2D137C78" w14:textId="77777777" w:rsidR="007E5256" w:rsidRDefault="007E5256" w:rsidP="007E5256">
      <w:pPr>
        <w:pStyle w:val="MainText"/>
        <w:spacing w:line="240" w:lineRule="auto"/>
        <w:rPr>
          <w:rFonts w:ascii="Arial" w:hAnsi="Arial" w:cs="Arial"/>
          <w:szCs w:val="22"/>
        </w:rPr>
      </w:pPr>
    </w:p>
    <w:p w14:paraId="5F9ADFC8" w14:textId="77777777" w:rsidR="007A457B" w:rsidRPr="00D80DCC" w:rsidRDefault="00045E94" w:rsidP="007A457B">
      <w:pPr>
        <w:pStyle w:val="ListParagraph"/>
        <w:numPr>
          <w:ilvl w:val="0"/>
          <w:numId w:val="29"/>
        </w:numPr>
        <w:rPr>
          <w:rFonts w:ascii="Arial" w:hAnsi="Arial" w:cs="Arial"/>
          <w:szCs w:val="22"/>
        </w:rPr>
      </w:pPr>
      <w:r>
        <w:rPr>
          <w:rFonts w:ascii="Arial" w:hAnsi="Arial" w:cstheme="minorBidi"/>
        </w:rPr>
        <w:t>We are expecting the report of t</w:t>
      </w:r>
      <w:r w:rsidR="00717B4C" w:rsidRPr="00D80DCC">
        <w:rPr>
          <w:rFonts w:ascii="Arial" w:hAnsi="Arial" w:cstheme="minorBidi"/>
        </w:rPr>
        <w:t xml:space="preserve">he Independent Reviewer of Terrorism Legislation </w:t>
      </w:r>
      <w:r>
        <w:rPr>
          <w:rFonts w:ascii="Arial" w:hAnsi="Arial" w:cstheme="minorBidi"/>
        </w:rPr>
        <w:t>into the</w:t>
      </w:r>
      <w:r w:rsidR="00717B4C" w:rsidRPr="00D80DCC">
        <w:rPr>
          <w:rFonts w:ascii="Arial" w:hAnsi="Arial" w:cstheme="minorBidi"/>
        </w:rPr>
        <w:t xml:space="preserve"> use of interception </w:t>
      </w:r>
      <w:r w:rsidR="00D80DCC" w:rsidRPr="00D80DCC">
        <w:rPr>
          <w:rFonts w:ascii="Arial" w:hAnsi="Arial" w:cstheme="minorBidi"/>
        </w:rPr>
        <w:t xml:space="preserve">powers and </w:t>
      </w:r>
      <w:r w:rsidR="00D80DCC" w:rsidRPr="00D80DCC">
        <w:rPr>
          <w:rFonts w:ascii="Arial" w:hAnsi="Arial" w:cstheme="minorBidi"/>
          <w:b/>
        </w:rPr>
        <w:t>communications data</w:t>
      </w:r>
      <w:r w:rsidR="00D80DCC" w:rsidRPr="00D80DCC">
        <w:rPr>
          <w:rFonts w:ascii="Arial" w:hAnsi="Arial" w:cstheme="minorBidi"/>
        </w:rPr>
        <w:t xml:space="preserve"> t</w:t>
      </w:r>
      <w:r w:rsidR="00717B4C" w:rsidRPr="00D80DCC">
        <w:rPr>
          <w:rFonts w:ascii="Arial" w:hAnsi="Arial" w:cstheme="minorBidi"/>
        </w:rPr>
        <w:t xml:space="preserve">o </w:t>
      </w:r>
      <w:r>
        <w:rPr>
          <w:rFonts w:ascii="Arial" w:hAnsi="Arial" w:cstheme="minorBidi"/>
        </w:rPr>
        <w:t xml:space="preserve">be published </w:t>
      </w:r>
      <w:r w:rsidR="008C6833">
        <w:rPr>
          <w:rFonts w:ascii="Arial" w:hAnsi="Arial" w:cstheme="minorBidi"/>
        </w:rPr>
        <w:t>shortly</w:t>
      </w:r>
      <w:r w:rsidR="00717B4C" w:rsidRPr="00D80DCC">
        <w:rPr>
          <w:rFonts w:ascii="Arial" w:hAnsi="Arial" w:cstheme="minorBidi"/>
        </w:rPr>
        <w:t>. The LGA and council officers contributed to the review</w:t>
      </w:r>
      <w:r w:rsidR="00D80DCC" w:rsidRPr="00D80DCC">
        <w:rPr>
          <w:rFonts w:ascii="Arial" w:hAnsi="Arial" w:cstheme="minorBidi"/>
        </w:rPr>
        <w:t xml:space="preserve"> in regard to the use of </w:t>
      </w:r>
      <w:r w:rsidR="00D80DCC">
        <w:rPr>
          <w:rFonts w:ascii="Arial" w:hAnsi="Arial" w:cstheme="minorBidi"/>
        </w:rPr>
        <w:t>communications data by council.</w:t>
      </w:r>
    </w:p>
    <w:p w14:paraId="5387F3D7" w14:textId="77777777" w:rsidR="00D80DCC" w:rsidRPr="00D80DCC" w:rsidRDefault="00D80DCC" w:rsidP="00D80DCC">
      <w:pPr>
        <w:pStyle w:val="ListParagraph"/>
        <w:ind w:left="360"/>
        <w:rPr>
          <w:rFonts w:ascii="Arial" w:hAnsi="Arial" w:cs="Arial"/>
          <w:szCs w:val="22"/>
        </w:rPr>
      </w:pPr>
    </w:p>
    <w:p w14:paraId="21A2666F" w14:textId="77777777" w:rsidR="003D203F" w:rsidRPr="00D80DCC" w:rsidRDefault="00D80DCC" w:rsidP="00FE5843">
      <w:pPr>
        <w:pStyle w:val="ListParagraph"/>
        <w:numPr>
          <w:ilvl w:val="0"/>
          <w:numId w:val="29"/>
        </w:numPr>
        <w:rPr>
          <w:rFonts w:ascii="Arial" w:hAnsi="Arial" w:cs="Arial"/>
          <w:b/>
          <w:szCs w:val="22"/>
        </w:rPr>
      </w:pPr>
      <w:r w:rsidRPr="00D80DCC">
        <w:rPr>
          <w:rFonts w:ascii="Arial" w:hAnsi="Arial" w:cs="Arial"/>
          <w:szCs w:val="22"/>
        </w:rPr>
        <w:t xml:space="preserve">As part of our </w:t>
      </w:r>
      <w:r w:rsidRPr="00D80DCC">
        <w:rPr>
          <w:rFonts w:ascii="Arial" w:hAnsi="Arial" w:cs="Arial"/>
          <w:b/>
          <w:i/>
          <w:szCs w:val="22"/>
        </w:rPr>
        <w:t>Remodelling public protection</w:t>
      </w:r>
      <w:r w:rsidRPr="00D80DCC">
        <w:rPr>
          <w:rFonts w:ascii="Arial" w:hAnsi="Arial" w:cs="Arial"/>
          <w:szCs w:val="22"/>
        </w:rPr>
        <w:t xml:space="preserve"> work, we are running a conference on commercialisation in regulatory services on Tuesday 16 June.</w:t>
      </w:r>
    </w:p>
    <w:sectPr w:rsidR="003D203F" w:rsidRPr="00D80DCC" w:rsidSect="008772F4">
      <w:headerReference w:type="default" r:id="rId13"/>
      <w:footerReference w:type="default" r:id="rId14"/>
      <w:headerReference w:type="first" r:id="rId15"/>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6BAA0" w14:textId="77777777" w:rsidR="0075056B" w:rsidRDefault="0075056B">
      <w:r>
        <w:separator/>
      </w:r>
    </w:p>
  </w:endnote>
  <w:endnote w:type="continuationSeparator" w:id="0">
    <w:p w14:paraId="131C4E6C" w14:textId="77777777" w:rsidR="0075056B" w:rsidRDefault="00750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1595E47-F96F-43E7-AB6D-E2B3AD1E79A6}"/>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A8792BDC-F8D4-424B-9A76-151BE122C296}"/>
  </w:font>
  <w:font w:name="Cambria">
    <w:panose1 w:val="02040503050406030204"/>
    <w:charset w:val="00"/>
    <w:family w:val="roman"/>
    <w:pitch w:val="variable"/>
    <w:sig w:usb0="E00002FF" w:usb1="400004FF" w:usb2="00000000" w:usb3="00000000" w:csb0="0000019F" w:csb1="00000000"/>
    <w:embedRegular r:id="rId3" w:fontKey="{3288E129-DB5C-4625-AFA3-A603902A9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C86EF" w14:textId="77777777" w:rsidR="0052745E" w:rsidRDefault="0052745E">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1F15F" w14:textId="77777777" w:rsidR="0075056B" w:rsidRDefault="0075056B">
      <w:r>
        <w:separator/>
      </w:r>
    </w:p>
  </w:footnote>
  <w:footnote w:type="continuationSeparator" w:id="0">
    <w:p w14:paraId="16DF03B4" w14:textId="77777777" w:rsidR="0075056B" w:rsidRDefault="00750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52745E" w:rsidRPr="004F266E" w14:paraId="5802988F" w14:textId="77777777" w:rsidTr="0052745E">
      <w:tc>
        <w:tcPr>
          <w:tcW w:w="5920" w:type="dxa"/>
          <w:vMerge w:val="restart"/>
          <w:shd w:val="clear" w:color="auto" w:fill="auto"/>
        </w:tcPr>
        <w:p w14:paraId="3A078134" w14:textId="77777777" w:rsidR="0052745E" w:rsidRPr="00374227" w:rsidRDefault="0052745E" w:rsidP="0052745E">
          <w:pPr>
            <w:pStyle w:val="Header"/>
            <w:tabs>
              <w:tab w:val="clear" w:pos="4153"/>
              <w:tab w:val="clear" w:pos="8306"/>
              <w:tab w:val="center" w:pos="2923"/>
            </w:tabs>
          </w:pPr>
          <w:r>
            <w:rPr>
              <w:rFonts w:ascii="Arial" w:hAnsi="Arial" w:cs="Arial"/>
              <w:noProof/>
              <w:sz w:val="44"/>
              <w:szCs w:val="44"/>
            </w:rPr>
            <w:drawing>
              <wp:inline distT="0" distB="0" distL="0" distR="0" wp14:anchorId="5330F4A4" wp14:editId="18261817">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14:paraId="4CF46CE6" w14:textId="77777777" w:rsidR="0052745E" w:rsidRPr="00374227" w:rsidRDefault="0052745E" w:rsidP="0052745E">
          <w:pPr>
            <w:pStyle w:val="Header"/>
            <w:rPr>
              <w:rFonts w:ascii="Arial" w:hAnsi="Arial" w:cs="Arial"/>
              <w:b/>
              <w:szCs w:val="22"/>
            </w:rPr>
          </w:pPr>
          <w:r>
            <w:rPr>
              <w:rFonts w:ascii="Arial" w:hAnsi="Arial" w:cs="Arial"/>
              <w:b/>
              <w:szCs w:val="22"/>
            </w:rPr>
            <w:t>Safer and Stronger Communities</w:t>
          </w:r>
          <w:r w:rsidRPr="00374227">
            <w:rPr>
              <w:rFonts w:ascii="Arial" w:hAnsi="Arial" w:cs="Arial"/>
              <w:b/>
              <w:szCs w:val="22"/>
            </w:rPr>
            <w:t xml:space="preserve"> Board</w:t>
          </w:r>
        </w:p>
      </w:tc>
    </w:tr>
    <w:tr w:rsidR="0052745E" w14:paraId="3E5A94EF" w14:textId="77777777" w:rsidTr="0052745E">
      <w:trPr>
        <w:trHeight w:val="450"/>
      </w:trPr>
      <w:tc>
        <w:tcPr>
          <w:tcW w:w="5920" w:type="dxa"/>
          <w:vMerge/>
          <w:shd w:val="clear" w:color="auto" w:fill="auto"/>
        </w:tcPr>
        <w:p w14:paraId="76A37A17" w14:textId="77777777" w:rsidR="0052745E" w:rsidRPr="00374227" w:rsidRDefault="0052745E" w:rsidP="0052745E">
          <w:pPr>
            <w:pStyle w:val="Header"/>
          </w:pPr>
        </w:p>
      </w:tc>
      <w:tc>
        <w:tcPr>
          <w:tcW w:w="3260" w:type="dxa"/>
          <w:shd w:val="clear" w:color="auto" w:fill="auto"/>
          <w:vAlign w:val="center"/>
        </w:tcPr>
        <w:p w14:paraId="788FC3E1" w14:textId="77777777" w:rsidR="0052745E" w:rsidRPr="00374227" w:rsidRDefault="0052745E" w:rsidP="005F0364">
          <w:pPr>
            <w:pStyle w:val="Header"/>
            <w:spacing w:before="60"/>
            <w:rPr>
              <w:rFonts w:ascii="Arial" w:hAnsi="Arial" w:cs="Arial"/>
              <w:szCs w:val="22"/>
            </w:rPr>
          </w:pPr>
          <w:r>
            <w:rPr>
              <w:rFonts w:ascii="Arial" w:hAnsi="Arial" w:cs="Arial"/>
              <w:szCs w:val="22"/>
            </w:rPr>
            <w:t>8 June 2015</w:t>
          </w:r>
        </w:p>
      </w:tc>
    </w:tr>
    <w:tr w:rsidR="0052745E" w:rsidRPr="004F266E" w14:paraId="6060C86B" w14:textId="77777777" w:rsidTr="0052745E">
      <w:trPr>
        <w:trHeight w:val="708"/>
      </w:trPr>
      <w:tc>
        <w:tcPr>
          <w:tcW w:w="5920" w:type="dxa"/>
          <w:vMerge/>
          <w:shd w:val="clear" w:color="auto" w:fill="auto"/>
        </w:tcPr>
        <w:p w14:paraId="34107AF4" w14:textId="77777777" w:rsidR="0052745E" w:rsidRPr="00374227" w:rsidRDefault="0052745E" w:rsidP="0052745E">
          <w:pPr>
            <w:pStyle w:val="Header"/>
          </w:pPr>
        </w:p>
      </w:tc>
      <w:tc>
        <w:tcPr>
          <w:tcW w:w="3260" w:type="dxa"/>
          <w:shd w:val="clear" w:color="auto" w:fill="auto"/>
          <w:vAlign w:val="center"/>
        </w:tcPr>
        <w:p w14:paraId="7749AC38" w14:textId="77777777" w:rsidR="0052745E" w:rsidRPr="00374227" w:rsidRDefault="0052745E" w:rsidP="00E46172">
          <w:pPr>
            <w:pStyle w:val="Header"/>
            <w:spacing w:before="60"/>
            <w:rPr>
              <w:rFonts w:ascii="Arial" w:hAnsi="Arial" w:cs="Arial"/>
              <w:b/>
              <w:szCs w:val="22"/>
            </w:rPr>
          </w:pPr>
        </w:p>
      </w:tc>
    </w:tr>
  </w:tbl>
  <w:p w14:paraId="7BF5963F" w14:textId="77777777" w:rsidR="0052745E" w:rsidRPr="0021114E" w:rsidRDefault="0052745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B561C" w14:textId="77777777" w:rsidR="0052745E" w:rsidRDefault="0052745E" w:rsidP="00E64FBC">
    <w:pPr>
      <w:pStyle w:val="Header"/>
      <w:rPr>
        <w:sz w:val="2"/>
      </w:rPr>
    </w:pPr>
  </w:p>
  <w:p w14:paraId="7CC34729" w14:textId="77777777" w:rsidR="0052745E" w:rsidRDefault="0052745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2745E" w:rsidRPr="001D2C76" w14:paraId="7EF51DF3" w14:textId="77777777" w:rsidTr="00084E44">
      <w:tc>
        <w:tcPr>
          <w:tcW w:w="6062" w:type="dxa"/>
          <w:vMerge w:val="restart"/>
        </w:tcPr>
        <w:p w14:paraId="6A8DEBAC" w14:textId="77777777" w:rsidR="0052745E" w:rsidRDefault="0052745E" w:rsidP="007C2BC2">
          <w:pPr>
            <w:pStyle w:val="Header"/>
            <w:tabs>
              <w:tab w:val="clear" w:pos="4153"/>
              <w:tab w:val="clear" w:pos="8306"/>
              <w:tab w:val="center" w:pos="2923"/>
            </w:tabs>
          </w:pPr>
          <w:r>
            <w:rPr>
              <w:rFonts w:ascii="Arial" w:hAnsi="Arial" w:cs="Arial"/>
              <w:noProof/>
              <w:sz w:val="44"/>
              <w:szCs w:val="44"/>
            </w:rPr>
            <w:drawing>
              <wp:inline distT="0" distB="0" distL="0" distR="0" wp14:anchorId="0876DC09" wp14:editId="52E4092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1972862" w14:textId="77777777" w:rsidR="0052745E" w:rsidRPr="001D2C76" w:rsidRDefault="0052745E" w:rsidP="00546D0D">
          <w:pPr>
            <w:pStyle w:val="Header"/>
            <w:rPr>
              <w:b/>
            </w:rPr>
          </w:pPr>
          <w:r>
            <w:rPr>
              <w:rFonts w:ascii="Arial" w:hAnsi="Arial" w:cs="Arial"/>
              <w:b/>
              <w:sz w:val="24"/>
              <w:szCs w:val="24"/>
            </w:rPr>
            <w:t>Meeting title</w:t>
          </w:r>
        </w:p>
      </w:tc>
    </w:tr>
    <w:tr w:rsidR="0052745E" w14:paraId="19850C8B" w14:textId="77777777" w:rsidTr="00084E44">
      <w:trPr>
        <w:trHeight w:val="450"/>
      </w:trPr>
      <w:tc>
        <w:tcPr>
          <w:tcW w:w="6062" w:type="dxa"/>
          <w:vMerge/>
        </w:tcPr>
        <w:p w14:paraId="1C8AF821" w14:textId="77777777" w:rsidR="0052745E" w:rsidRDefault="0052745E" w:rsidP="00546D0D">
          <w:pPr>
            <w:pStyle w:val="Header"/>
          </w:pPr>
        </w:p>
      </w:tc>
      <w:tc>
        <w:tcPr>
          <w:tcW w:w="3225" w:type="dxa"/>
        </w:tcPr>
        <w:p w14:paraId="1A5DBF6A" w14:textId="77777777" w:rsidR="0052745E" w:rsidRDefault="0052745E" w:rsidP="00546D0D">
          <w:pPr>
            <w:pStyle w:val="Header"/>
            <w:spacing w:before="60"/>
          </w:pPr>
          <w:r>
            <w:rPr>
              <w:rFonts w:ascii="Arial" w:hAnsi="Arial" w:cs="Arial"/>
              <w:sz w:val="24"/>
              <w:szCs w:val="24"/>
            </w:rPr>
            <w:t xml:space="preserve">Meeting date </w:t>
          </w:r>
        </w:p>
      </w:tc>
    </w:tr>
    <w:tr w:rsidR="0052745E" w14:paraId="758C8BBD" w14:textId="77777777" w:rsidTr="00084E44">
      <w:trPr>
        <w:trHeight w:val="450"/>
      </w:trPr>
      <w:tc>
        <w:tcPr>
          <w:tcW w:w="6062" w:type="dxa"/>
          <w:vMerge/>
        </w:tcPr>
        <w:p w14:paraId="203EEB78" w14:textId="77777777" w:rsidR="0052745E" w:rsidRDefault="0052745E" w:rsidP="00546D0D">
          <w:pPr>
            <w:pStyle w:val="Header"/>
          </w:pPr>
        </w:p>
      </w:tc>
      <w:tc>
        <w:tcPr>
          <w:tcW w:w="3225" w:type="dxa"/>
        </w:tcPr>
        <w:p w14:paraId="28DC0C33" w14:textId="77777777" w:rsidR="0052745E" w:rsidRDefault="0052745E" w:rsidP="00546D0D">
          <w:pPr>
            <w:pStyle w:val="Header"/>
            <w:spacing w:before="60"/>
            <w:rPr>
              <w:rFonts w:ascii="Arial" w:hAnsi="Arial" w:cs="Arial"/>
              <w:b/>
              <w:sz w:val="24"/>
              <w:szCs w:val="24"/>
            </w:rPr>
          </w:pPr>
        </w:p>
        <w:p w14:paraId="1CCCBD72" w14:textId="77777777" w:rsidR="0052745E" w:rsidRPr="00546D0D" w:rsidRDefault="0052745E" w:rsidP="00546D0D">
          <w:pPr>
            <w:pStyle w:val="Header"/>
            <w:spacing w:before="60"/>
            <w:rPr>
              <w:rFonts w:ascii="Arial" w:hAnsi="Arial" w:cs="Arial"/>
              <w:b/>
              <w:sz w:val="24"/>
              <w:szCs w:val="24"/>
            </w:rPr>
          </w:pPr>
          <w:r>
            <w:rPr>
              <w:rFonts w:ascii="Arial" w:hAnsi="Arial" w:cs="Arial"/>
              <w:b/>
              <w:sz w:val="24"/>
              <w:szCs w:val="24"/>
            </w:rPr>
            <w:t>Item X</w:t>
          </w:r>
        </w:p>
      </w:tc>
    </w:tr>
  </w:tbl>
  <w:p w14:paraId="2BD9BCE2" w14:textId="77777777" w:rsidR="0052745E" w:rsidRDefault="0052745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6F6224"/>
    <w:multiLevelType w:val="hybridMultilevel"/>
    <w:tmpl w:val="91D064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4C55349"/>
    <w:multiLevelType w:val="hybridMultilevel"/>
    <w:tmpl w:val="C056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A53A15"/>
    <w:multiLevelType w:val="hybridMultilevel"/>
    <w:tmpl w:val="D8642F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223A3E"/>
    <w:multiLevelType w:val="hybridMultilevel"/>
    <w:tmpl w:val="2296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A07131"/>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C832D1"/>
    <w:multiLevelType w:val="hybridMultilevel"/>
    <w:tmpl w:val="66E84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274D6D"/>
    <w:multiLevelType w:val="hybridMultilevel"/>
    <w:tmpl w:val="1538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391606B"/>
    <w:multiLevelType w:val="multilevel"/>
    <w:tmpl w:val="6E9AABB4"/>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BEE1CAE"/>
    <w:multiLevelType w:val="multilevel"/>
    <w:tmpl w:val="DF7A06A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7"/>
  </w:num>
  <w:num w:numId="3">
    <w:abstractNumId w:val="24"/>
  </w:num>
  <w:num w:numId="4">
    <w:abstractNumId w:val="34"/>
  </w:num>
  <w:num w:numId="5">
    <w:abstractNumId w:val="23"/>
  </w:num>
  <w:num w:numId="6">
    <w:abstractNumId w:val="16"/>
  </w:num>
  <w:num w:numId="7">
    <w:abstractNumId w:val="29"/>
  </w:num>
  <w:num w:numId="8">
    <w:abstractNumId w:val="11"/>
  </w:num>
  <w:num w:numId="9">
    <w:abstractNumId w:val="5"/>
  </w:num>
  <w:num w:numId="10">
    <w:abstractNumId w:val="3"/>
  </w:num>
  <w:num w:numId="11">
    <w:abstractNumId w:val="12"/>
  </w:num>
  <w:num w:numId="12">
    <w:abstractNumId w:val="25"/>
  </w:num>
  <w:num w:numId="13">
    <w:abstractNumId w:val="15"/>
  </w:num>
  <w:num w:numId="14">
    <w:abstractNumId w:val="36"/>
  </w:num>
  <w:num w:numId="15">
    <w:abstractNumId w:val="21"/>
  </w:num>
  <w:num w:numId="16">
    <w:abstractNumId w:val="2"/>
  </w:num>
  <w:num w:numId="17">
    <w:abstractNumId w:val="33"/>
  </w:num>
  <w:num w:numId="18">
    <w:abstractNumId w:val="19"/>
  </w:num>
  <w:num w:numId="19">
    <w:abstractNumId w:val="10"/>
  </w:num>
  <w:num w:numId="20">
    <w:abstractNumId w:val="14"/>
  </w:num>
  <w:num w:numId="21">
    <w:abstractNumId w:val="28"/>
  </w:num>
  <w:num w:numId="22">
    <w:abstractNumId w:val="18"/>
  </w:num>
  <w:num w:numId="23">
    <w:abstractNumId w:val="30"/>
  </w:num>
  <w:num w:numId="24">
    <w:abstractNumId w:val="17"/>
  </w:num>
  <w:num w:numId="25">
    <w:abstractNumId w:val="6"/>
  </w:num>
  <w:num w:numId="26">
    <w:abstractNumId w:val="32"/>
  </w:num>
  <w:num w:numId="27">
    <w:abstractNumId w:val="0"/>
  </w:num>
  <w:num w:numId="28">
    <w:abstractNumId w:val="4"/>
  </w:num>
  <w:num w:numId="29">
    <w:abstractNumId w:val="20"/>
  </w:num>
  <w:num w:numId="30">
    <w:abstractNumId w:val="35"/>
  </w:num>
  <w:num w:numId="31">
    <w:abstractNumId w:val="9"/>
  </w:num>
  <w:num w:numId="32">
    <w:abstractNumId w:val="13"/>
  </w:num>
  <w:num w:numId="33">
    <w:abstractNumId w:val="1"/>
  </w:num>
  <w:num w:numId="34">
    <w:abstractNumId w:val="26"/>
  </w:num>
  <w:num w:numId="35">
    <w:abstractNumId w:val="31"/>
  </w:num>
  <w:num w:numId="36">
    <w:abstractNumId w:val="2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480E"/>
    <w:rsid w:val="000367FF"/>
    <w:rsid w:val="00045E94"/>
    <w:rsid w:val="00050535"/>
    <w:rsid w:val="0005285D"/>
    <w:rsid w:val="00061956"/>
    <w:rsid w:val="000633C1"/>
    <w:rsid w:val="00081B2C"/>
    <w:rsid w:val="00084E44"/>
    <w:rsid w:val="000A3935"/>
    <w:rsid w:val="000A7FC2"/>
    <w:rsid w:val="000B09F5"/>
    <w:rsid w:val="000B56B0"/>
    <w:rsid w:val="000C3360"/>
    <w:rsid w:val="000D2BDB"/>
    <w:rsid w:val="000D702D"/>
    <w:rsid w:val="000E5E39"/>
    <w:rsid w:val="000F6469"/>
    <w:rsid w:val="00100FC2"/>
    <w:rsid w:val="0010253D"/>
    <w:rsid w:val="001172B6"/>
    <w:rsid w:val="00173D5A"/>
    <w:rsid w:val="001A07F1"/>
    <w:rsid w:val="001A7538"/>
    <w:rsid w:val="001A7A02"/>
    <w:rsid w:val="001D2C76"/>
    <w:rsid w:val="001D6703"/>
    <w:rsid w:val="001E4CE7"/>
    <w:rsid w:val="001F3C20"/>
    <w:rsid w:val="00204AC7"/>
    <w:rsid w:val="0021114E"/>
    <w:rsid w:val="0023070A"/>
    <w:rsid w:val="00232460"/>
    <w:rsid w:val="002414C2"/>
    <w:rsid w:val="00254DF4"/>
    <w:rsid w:val="002A0C7D"/>
    <w:rsid w:val="002A0D9E"/>
    <w:rsid w:val="002A20E0"/>
    <w:rsid w:val="002D0658"/>
    <w:rsid w:val="002E61BF"/>
    <w:rsid w:val="002F15DD"/>
    <w:rsid w:val="00302667"/>
    <w:rsid w:val="00324E86"/>
    <w:rsid w:val="00363ED4"/>
    <w:rsid w:val="00372DE6"/>
    <w:rsid w:val="003978FB"/>
    <w:rsid w:val="003C77A8"/>
    <w:rsid w:val="003D203F"/>
    <w:rsid w:val="003E20D5"/>
    <w:rsid w:val="003E4825"/>
    <w:rsid w:val="003E4B3E"/>
    <w:rsid w:val="00403657"/>
    <w:rsid w:val="0041006B"/>
    <w:rsid w:val="0042168F"/>
    <w:rsid w:val="00435D57"/>
    <w:rsid w:val="004401AF"/>
    <w:rsid w:val="00444C86"/>
    <w:rsid w:val="004619B5"/>
    <w:rsid w:val="00481354"/>
    <w:rsid w:val="004D36F3"/>
    <w:rsid w:val="004F12FE"/>
    <w:rsid w:val="00503086"/>
    <w:rsid w:val="0052745E"/>
    <w:rsid w:val="00537A03"/>
    <w:rsid w:val="00546D0D"/>
    <w:rsid w:val="005540BA"/>
    <w:rsid w:val="00575EED"/>
    <w:rsid w:val="005A2339"/>
    <w:rsid w:val="005A4917"/>
    <w:rsid w:val="005B1AD8"/>
    <w:rsid w:val="005B3508"/>
    <w:rsid w:val="005B6237"/>
    <w:rsid w:val="005E38A9"/>
    <w:rsid w:val="005F0364"/>
    <w:rsid w:val="005F06B0"/>
    <w:rsid w:val="005F364F"/>
    <w:rsid w:val="00600876"/>
    <w:rsid w:val="00601A2D"/>
    <w:rsid w:val="006137EA"/>
    <w:rsid w:val="00616455"/>
    <w:rsid w:val="00617B72"/>
    <w:rsid w:val="0062058A"/>
    <w:rsid w:val="006304C9"/>
    <w:rsid w:val="00646A98"/>
    <w:rsid w:val="00650936"/>
    <w:rsid w:val="00654832"/>
    <w:rsid w:val="006716DE"/>
    <w:rsid w:val="006A0E31"/>
    <w:rsid w:val="006A5B68"/>
    <w:rsid w:val="006B0837"/>
    <w:rsid w:val="006B4E36"/>
    <w:rsid w:val="006B5AE3"/>
    <w:rsid w:val="006C33DB"/>
    <w:rsid w:val="006C6FAD"/>
    <w:rsid w:val="006F0CCB"/>
    <w:rsid w:val="00706D3A"/>
    <w:rsid w:val="00717B4C"/>
    <w:rsid w:val="00734FDF"/>
    <w:rsid w:val="007447BE"/>
    <w:rsid w:val="0075056B"/>
    <w:rsid w:val="007670B0"/>
    <w:rsid w:val="007949B6"/>
    <w:rsid w:val="007A063E"/>
    <w:rsid w:val="007A457B"/>
    <w:rsid w:val="007B7A0E"/>
    <w:rsid w:val="007C1849"/>
    <w:rsid w:val="007C2BC2"/>
    <w:rsid w:val="007D7BA6"/>
    <w:rsid w:val="007E2685"/>
    <w:rsid w:val="007E4C1A"/>
    <w:rsid w:val="007E5256"/>
    <w:rsid w:val="007E5C0D"/>
    <w:rsid w:val="007F248F"/>
    <w:rsid w:val="007F24E8"/>
    <w:rsid w:val="00841710"/>
    <w:rsid w:val="00860C8D"/>
    <w:rsid w:val="0087174A"/>
    <w:rsid w:val="0087546A"/>
    <w:rsid w:val="008772F4"/>
    <w:rsid w:val="00893E53"/>
    <w:rsid w:val="008B64C1"/>
    <w:rsid w:val="008C3AFD"/>
    <w:rsid w:val="008C6833"/>
    <w:rsid w:val="008D1B23"/>
    <w:rsid w:val="008D332D"/>
    <w:rsid w:val="008E5AE8"/>
    <w:rsid w:val="008F3A81"/>
    <w:rsid w:val="00914A91"/>
    <w:rsid w:val="0092710B"/>
    <w:rsid w:val="00931FA5"/>
    <w:rsid w:val="0094468C"/>
    <w:rsid w:val="00961BAC"/>
    <w:rsid w:val="00967F3E"/>
    <w:rsid w:val="00982B41"/>
    <w:rsid w:val="009A5C7B"/>
    <w:rsid w:val="009B0968"/>
    <w:rsid w:val="009C64BE"/>
    <w:rsid w:val="009C7622"/>
    <w:rsid w:val="009C799F"/>
    <w:rsid w:val="009D5D4A"/>
    <w:rsid w:val="009D6157"/>
    <w:rsid w:val="009E17B8"/>
    <w:rsid w:val="009E64CF"/>
    <w:rsid w:val="00A05560"/>
    <w:rsid w:val="00A05A24"/>
    <w:rsid w:val="00A34F48"/>
    <w:rsid w:val="00A41125"/>
    <w:rsid w:val="00A601EC"/>
    <w:rsid w:val="00A62A94"/>
    <w:rsid w:val="00A67E0E"/>
    <w:rsid w:val="00A71CD2"/>
    <w:rsid w:val="00A7644D"/>
    <w:rsid w:val="00A9189F"/>
    <w:rsid w:val="00A92B3B"/>
    <w:rsid w:val="00AA5B73"/>
    <w:rsid w:val="00AA5C07"/>
    <w:rsid w:val="00AA6F4D"/>
    <w:rsid w:val="00AC7AC8"/>
    <w:rsid w:val="00B0159A"/>
    <w:rsid w:val="00B162A5"/>
    <w:rsid w:val="00B51B1C"/>
    <w:rsid w:val="00B5364D"/>
    <w:rsid w:val="00B63F0D"/>
    <w:rsid w:val="00B668B0"/>
    <w:rsid w:val="00B67071"/>
    <w:rsid w:val="00B7585E"/>
    <w:rsid w:val="00B900B5"/>
    <w:rsid w:val="00B96F72"/>
    <w:rsid w:val="00BB212B"/>
    <w:rsid w:val="00BC3B14"/>
    <w:rsid w:val="00BC3B9F"/>
    <w:rsid w:val="00BD4D88"/>
    <w:rsid w:val="00BE1A18"/>
    <w:rsid w:val="00BF39A8"/>
    <w:rsid w:val="00BF4F9E"/>
    <w:rsid w:val="00C15C21"/>
    <w:rsid w:val="00C21FC8"/>
    <w:rsid w:val="00C23FAE"/>
    <w:rsid w:val="00C342FB"/>
    <w:rsid w:val="00C36EBD"/>
    <w:rsid w:val="00C50EFF"/>
    <w:rsid w:val="00C56860"/>
    <w:rsid w:val="00C56D09"/>
    <w:rsid w:val="00C63BF4"/>
    <w:rsid w:val="00C82C83"/>
    <w:rsid w:val="00C9258A"/>
    <w:rsid w:val="00C97E37"/>
    <w:rsid w:val="00CA1498"/>
    <w:rsid w:val="00CC0245"/>
    <w:rsid w:val="00CE2310"/>
    <w:rsid w:val="00CF2075"/>
    <w:rsid w:val="00D1779A"/>
    <w:rsid w:val="00D42131"/>
    <w:rsid w:val="00D55B10"/>
    <w:rsid w:val="00D620BE"/>
    <w:rsid w:val="00D66905"/>
    <w:rsid w:val="00D77253"/>
    <w:rsid w:val="00D80DCC"/>
    <w:rsid w:val="00D84788"/>
    <w:rsid w:val="00D903DC"/>
    <w:rsid w:val="00D91C0F"/>
    <w:rsid w:val="00DA0183"/>
    <w:rsid w:val="00DB1268"/>
    <w:rsid w:val="00DD1E92"/>
    <w:rsid w:val="00DD7640"/>
    <w:rsid w:val="00DF11AC"/>
    <w:rsid w:val="00E11424"/>
    <w:rsid w:val="00E14315"/>
    <w:rsid w:val="00E27467"/>
    <w:rsid w:val="00E4011A"/>
    <w:rsid w:val="00E46172"/>
    <w:rsid w:val="00E52D8B"/>
    <w:rsid w:val="00E64FBC"/>
    <w:rsid w:val="00E650C7"/>
    <w:rsid w:val="00E7710E"/>
    <w:rsid w:val="00E83EB8"/>
    <w:rsid w:val="00E84B8B"/>
    <w:rsid w:val="00EB1237"/>
    <w:rsid w:val="00EE0DE3"/>
    <w:rsid w:val="00F02889"/>
    <w:rsid w:val="00F0584B"/>
    <w:rsid w:val="00F0672D"/>
    <w:rsid w:val="00F14325"/>
    <w:rsid w:val="00F23B3B"/>
    <w:rsid w:val="00F27CCB"/>
    <w:rsid w:val="00F6257D"/>
    <w:rsid w:val="00F6671D"/>
    <w:rsid w:val="00F66928"/>
    <w:rsid w:val="00F723A3"/>
    <w:rsid w:val="00F74F32"/>
    <w:rsid w:val="00F77051"/>
    <w:rsid w:val="00F866E4"/>
    <w:rsid w:val="00F95A3A"/>
    <w:rsid w:val="00FB295D"/>
    <w:rsid w:val="00FC4381"/>
    <w:rsid w:val="00FC7FAC"/>
    <w:rsid w:val="00FE181A"/>
    <w:rsid w:val="00FE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5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503086"/>
    <w:pPr>
      <w:autoSpaceDE w:val="0"/>
      <w:autoSpaceDN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503086"/>
    <w:pPr>
      <w:autoSpaceDE w:val="0"/>
      <w:autoSpaceDN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866154">
      <w:bodyDiv w:val="1"/>
      <w:marLeft w:val="0"/>
      <w:marRight w:val="0"/>
      <w:marTop w:val="0"/>
      <w:marBottom w:val="0"/>
      <w:divBdr>
        <w:top w:val="none" w:sz="0" w:space="0" w:color="auto"/>
        <w:left w:val="none" w:sz="0" w:space="0" w:color="auto"/>
        <w:bottom w:val="none" w:sz="0" w:space="0" w:color="auto"/>
        <w:right w:val="none" w:sz="0" w:space="0" w:color="auto"/>
      </w:divBdr>
    </w:div>
    <w:div w:id="925384843">
      <w:bodyDiv w:val="1"/>
      <w:marLeft w:val="0"/>
      <w:marRight w:val="0"/>
      <w:marTop w:val="0"/>
      <w:marBottom w:val="0"/>
      <w:divBdr>
        <w:top w:val="none" w:sz="0" w:space="0" w:color="auto"/>
        <w:left w:val="none" w:sz="0" w:space="0" w:color="auto"/>
        <w:bottom w:val="none" w:sz="0" w:space="0" w:color="auto"/>
        <w:right w:val="none" w:sz="0" w:space="0" w:color="auto"/>
      </w:divBdr>
    </w:div>
    <w:div w:id="99021339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local.gov.uk/documents/10180/6869714/L15-87+Councillor+Handbook+-+Taxi+and+PHV+Licensing_06.pdf/c73bec4b-cd31-4bcd-be2c-f5fe3e87b4f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0A4B7-3ED6-4ED2-8296-2E2EEBC161DB}">
  <ds:schemaRefs>
    <ds:schemaRef ds:uri="http://schemas.microsoft.com/office/2006/metadata/properties"/>
    <ds:schemaRef ds:uri="http://schemas.microsoft.com/office/infopath/2007/PartnerControls"/>
    <ds:schemaRef ds:uri="1c8a0e75-f4bc-4eb4-8ed0-578eaea9e1ca"/>
    <ds:schemaRef ds:uri="c8febe6a-14d9-43ab-83c3-c48f478fa47c"/>
  </ds:schemaRefs>
</ds:datastoreItem>
</file>

<file path=customXml/itemProps2.xml><?xml version="1.0" encoding="utf-8"?>
<ds:datastoreItem xmlns:ds="http://schemas.openxmlformats.org/officeDocument/2006/customXml" ds:itemID="{D452D969-5319-4E4F-9F40-02B307F53E4A}">
  <ds:schemaRefs>
    <ds:schemaRef ds:uri="http://schemas.microsoft.com/sharepoint/v3/contenttype/forms"/>
  </ds:schemaRefs>
</ds:datastoreItem>
</file>

<file path=customXml/itemProps3.xml><?xml version="1.0" encoding="utf-8"?>
<ds:datastoreItem xmlns:ds="http://schemas.openxmlformats.org/officeDocument/2006/customXml" ds:itemID="{179855F1-580E-4B6C-B5C7-E01FB1841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0E22D2-60E4-4DCE-9C5C-FD924771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Paul Goodchild</cp:lastModifiedBy>
  <cp:revision>3</cp:revision>
  <cp:lastPrinted>2010-08-12T11:06:00Z</cp:lastPrinted>
  <dcterms:created xsi:type="dcterms:W3CDTF">2015-06-02T10:27:00Z</dcterms:created>
  <dcterms:modified xsi:type="dcterms:W3CDTF">2015-06-02T10:27:00Z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0x010100647B51E8B72FFB40AC4C20EC850D9188</vt:lpwstr>
  </op:property>
  <op:property fmtid="{D5CDD505-2E9C-101B-9397-08002B2CF9AE}" pid="16" name="TaxKeyword">
    <vt:lpwstr/>
  </op:property>
  <op:property fmtid="{D5CDD505-2E9C-101B-9397-08002B2CF9AE}" pid="17" name="WorkflowChangePath">
    <vt:lpwstr>0b6503a9-28cf-4649-bf13-cf07c85905e0,3;0b6503a9-28cf-4649-bf13-cf07c85905e0,5;</vt:lpwstr>
  </op:property>
  <op:property fmtid="{D5CDD505-2E9C-101B-9397-08002B2CF9AE}" pid="18" name="Title">
    <vt:lpwstr>Regulatory Services Update</vt:lpwstr>
  </op:property>
  <op:property fmtid="{D5CDD505-2E9C-101B-9397-08002B2CF9AE}" pid="19" name="Keywords">
    <vt:lpwstr>Council meetings;Government, politics and public administration; Local government; Decision making; Council meetings;</vt:lpwstr>
  </op:property>
  <op:property fmtid="{D5CDD505-2E9C-101B-9397-08002B2CF9AE}" pid="20" name="Author">
    <vt:lpwstr>Your council</vt:lpwstr>
  </op:property>
</op:Properties>
</file>